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737360" cy="459641"/>
            <wp:docPr id="1" name="Picture 1"/>
            <wp:cNvGraphicFramePr>
              <a:graphicFrameLocks noChangeAspect="1"/>
            </wp:cNvGraphicFramePr>
            <a:graphic>
              <a:graphicData uri="http://schemas.openxmlformats.org/drawingml/2006/picture">
                <pic:pic>
                  <pic:nvPicPr>
                    <pic:cNvPr id="0" name="mvf-logo.png"/>
                    <pic:cNvPicPr/>
                  </pic:nvPicPr>
                  <pic:blipFill>
                    <a:blip r:embed="rId9"/>
                    <a:stretch>
                      <a:fillRect/>
                    </a:stretch>
                  </pic:blipFill>
                  <pic:spPr>
                    <a:xfrm>
                      <a:off x="0" y="0"/>
                      <a:ext cx="1737360" cy="459641"/>
                    </a:xfrm>
                    <a:prstGeom prst="rect"/>
                  </pic:spPr>
                </pic:pic>
              </a:graphicData>
            </a:graphic>
          </wp:inline>
        </w:drawing>
      </w:r>
    </w:p>
    <w:p>
      <w:r>
        <w:rPr>
          <w:color w:val="0051A1"/>
          <w:sz w:val="19"/>
        </w:rPr>
        <w:t>Ein Service des Knowledge-Hubs von Monitor Versorgungsforschung. Täglich automatisiert KI-kuratiert aus PubMed und auf Deutsch übersetzt.</w:t>
      </w:r>
    </w:p>
    <w:p>
      <w:pPr>
        <w:pStyle w:val="Title"/>
      </w:pPr>
      <w:r>
        <w:t>Studienarchiv - Kardiologie</w:t>
      </w:r>
    </w:p>
    <w:p>
      <w:r>
        <w:rPr>
          <w:i/>
          <w:color w:val="666666"/>
          <w:sz w:val="18"/>
        </w:rPr>
        <w:t>Stand: 25.10.2026  |  261 Studien  |  kardio.m-vf.de</w:t>
      </w:r>
    </w:p>
    <w:p>
      <w:pPr>
        <w:pStyle w:val="Heading1"/>
      </w:pPr>
      <w:r>
        <w:t>Aufgenommen am 25.10.2026</w:t>
      </w:r>
    </w:p>
    <w:p>
      <w:pPr>
        <w:pStyle w:val="Heading2"/>
      </w:pPr>
      <w:r>
        <w:t>Long COVID erhöht Bluthochdruck-Risiko um 14 Prozent</w:t>
      </w:r>
    </w:p>
    <w:p>
      <w:r>
        <w:rPr>
          <w:i/>
          <w:color w:val="666666"/>
          <w:sz w:val="18"/>
        </w:rPr>
        <w:t>Lindberg P et al.  ·  J Am Heart Assoc  ·  20.10.2026  ·  PMID 42857992</w:t>
      </w:r>
    </w:p>
    <w:p>
      <w:r>
        <w:t>Schwedische Bevölkerungskohortenstudie (1,22 Mio. Personen ohne Hypertonie) zu Langzeitfolgen nach SARS-CoV-2-Infektion: Long-COVID-Patienten entwickelten innerhalb von 4 Jahren häufiger neu auftretende Hypertonie als nicht-exponierte Personen.</w:t>
      </w:r>
    </w:p>
    <w:p>
      <w:r>
        <w:rPr>
          <w:b/>
        </w:rPr>
        <w:t xml:space="preserve">Ergebnis: </w:t>
      </w:r>
      <w:r>
        <w:t>Long-COVID-Diagnose erhöhte das Hypertonie-Risiko um 14 % gesamtkohort (Hazard Ratio 1,14; 95%-KI 1,09–1,20; p&lt;0,001), bei Frauen um 13 % (HR 1,13; 1,05–1,22; p=0,001) und Männern um 15 % (HR 1,15; 1,05–1,27; p=0,002). Das Risiko stieg früh und persistierte über 36 Monate Nachbeobachtung.</w:t>
      </w:r>
    </w:p>
    <w:p>
      <w:r>
        <w:rPr>
          <w:b/>
          <w:sz w:val="19"/>
        </w:rPr>
        <w:t xml:space="preserve">Übertragbarkeit: </w:t>
      </w:r>
      <w:r>
        <w:rPr>
          <w:sz w:val="19"/>
        </w:rPr>
        <w:t>Schweden, Bevölkerungsregister mit vollständiger Erfassung; Daten übertragbar auf deutsches Sozialversicherungssystem</w:t>
      </w:r>
    </w:p>
    <w:p>
      <w:r>
        <w:rPr>
          <w:color w:val="5A7D3A"/>
          <w:sz w:val="18"/>
        </w:rPr>
        <w:t>https://pubmed.ncbi.nlm.nih.gov/42857992/</w:t>
      </w:r>
    </w:p>
    <w:p>
      <w:pPr>
        <w:pStyle w:val="Heading1"/>
      </w:pPr>
      <w:r>
        <w:t>Aufgenommen am 24.10.2026</w:t>
      </w:r>
    </w:p>
    <w:p>
      <w:pPr>
        <w:pStyle w:val="Heading2"/>
      </w:pPr>
      <w:r>
        <w:t>Pulsed-Field-Ablation bei Vorhofflimmern: 82,5 % Freiheit von Arrhythmien nach 12 Monaten</w:t>
      </w:r>
    </w:p>
    <w:p>
      <w:r>
        <w:rPr>
          <w:i/>
          <w:color w:val="666666"/>
          <w:sz w:val="18"/>
        </w:rPr>
        <w:t>Duytschaever M et al.  ·  Heart Rhythm  ·  22.10.2026  ·  PMID 42913987</w:t>
      </w:r>
    </w:p>
    <w:p>
      <w:r>
        <w:t>Prospektive Studie mit 136 Patienten zur Pulmonalen-Venen-Isolierung mittels Pulsed-Field-Ablation (PFA) mit Kontaktkraft-Sensing und 3D-Mapping.</w:t>
      </w:r>
    </w:p>
    <w:p>
      <w:r>
        <w:rPr>
          <w:b/>
        </w:rPr>
        <w:t xml:space="preserve">Ergebnis: </w:t>
      </w:r>
      <w:r>
        <w:t>82,5 % der Patienten waren nach 12 Monaten frei von dokumentierten symptomatischen/asymptomatischen Vorhofflimmern; kardiovaskuläre Hospitalisierungen sanken um 40,9 %, Antiarrhythmika-Nutzung um 49,3 %. Ernsthaft durch Gerät/Prozedur bedingte Komplikationen traten in 2,9 % auf. Die PFA zeigte Sicherheit und Versorgungsvorteil.</w:t>
      </w:r>
    </w:p>
    <w:p>
      <w:r>
        <w:rPr>
          <w:b/>
          <w:sz w:val="19"/>
        </w:rPr>
        <w:t xml:space="preserve">Übertragbarkeit: </w:t>
      </w:r>
      <w:r>
        <w:rPr>
          <w:sz w:val="19"/>
        </w:rPr>
        <w:t>Multizentrische europäische Studie, vergleichbar mit deutschen Ablationszentren.</w:t>
      </w:r>
    </w:p>
    <w:p>
      <w:r>
        <w:rPr>
          <w:color w:val="5A7D3A"/>
          <w:sz w:val="18"/>
        </w:rPr>
        <w:t>https://pubmed.ncbi.nlm.nih.gov/42913987/</w:t>
      </w:r>
    </w:p>
    <w:p>
      <w:pPr>
        <w:pStyle w:val="Heading2"/>
      </w:pPr>
      <w:r>
        <w:t>Katheter-Ablation vs. Schein-Ablation bei Vorhofflimmern: Meta-Analyse mit 468 Patienten</w:t>
      </w:r>
    </w:p>
    <w:p>
      <w:r>
        <w:rPr>
          <w:i/>
          <w:color w:val="666666"/>
          <w:sz w:val="18"/>
        </w:rPr>
        <w:t>Kakarla S et al.  ·  Heart Rhythm  ·  22.10.2026  ·  PMID 42913986</w:t>
      </w:r>
    </w:p>
    <w:p>
      <w:r>
        <w:t>Bayesianische Metaanalyse von vier randomisierten Studien zum Vergleich von Katheter-Ablation mit Sham-Kontrolle bei symptomatischem Vorhofflimmern hinsichtlich Lebensqualität und Rezidivrate.</w:t>
      </w:r>
    </w:p>
    <w:p>
      <w:r>
        <w:rPr>
          <w:b/>
        </w:rPr>
        <w:t xml:space="preserve">Ergebnis: </w:t>
      </w:r>
      <w:r>
        <w:t>Ablation verbesserte AFEQT-Score um 13,5 Punkte (95%-Kredibilität 1,6–26,9; Wahrscheinlichkeit klinisch bedeutsam &gt;5 Punkte: 0,94). Ablation reduzierte Vorhofflimmern-Rezidive in allen Studien (gepooltes Risiko-Verhältnis 0,49, 95%-KI 0,17–0,89). Evidenzqualität moderat für Rhythmuskontrolle, niedrig für Lebensqualität.</w:t>
      </w:r>
    </w:p>
    <w:p>
      <w:r>
        <w:rPr>
          <w:b/>
          <w:sz w:val="19"/>
        </w:rPr>
        <w:t xml:space="preserve">Übertragbarkeit: </w:t>
      </w:r>
      <w:r>
        <w:rPr>
          <w:sz w:val="19"/>
        </w:rPr>
        <w:t>Internationale Metaanalyse mit europäischen Zentren; zeigt klinischen Nutzen für Leitlinien.</w:t>
      </w:r>
    </w:p>
    <w:p>
      <w:r>
        <w:rPr>
          <w:color w:val="5A7D3A"/>
          <w:sz w:val="18"/>
        </w:rPr>
        <w:t>https://pubmed.ncbi.nlm.nih.gov/42913986/</w:t>
      </w:r>
    </w:p>
    <w:p>
      <w:pPr>
        <w:pStyle w:val="Heading2"/>
      </w:pPr>
      <w:r>
        <w:t>Kardiale Rehabilitation: 750–1000 MET-min/Woche optimal für VO2-Peak-Verbesserung</w:t>
      </w:r>
    </w:p>
    <w:p>
      <w:r>
        <w:rPr>
          <w:i/>
          <w:color w:val="666666"/>
          <w:sz w:val="18"/>
        </w:rPr>
        <w:t>Zhang W et al.  ·  Eur J Prev Cardiol  ·  23.10.2026  ·  PMID 42913481</w:t>
      </w:r>
    </w:p>
    <w:p>
      <w:r>
        <w:t>Bayesianische Netzwerk-Metaanalyse von 100 RCTs mit 5.353 Patienten zur Dosis-Wirkungs-Beziehung verschiedener Trainingsmodalitäten (Intervall-Aerob, kontinuierlich, Kraft, Mind-Body) auf Sauerstoffaufnahme.</w:t>
      </w:r>
    </w:p>
    <w:p>
      <w:r>
        <w:rPr>
          <w:b/>
        </w:rPr>
        <w:t xml:space="preserve">Ergebnis: </w:t>
      </w:r>
      <w:r>
        <w:t>Dosis-Wirkungs-Kurve folgt Emax-Modell; ED50 ~80–90 MET-min/Woche; 750–1000 MET-min/Woche nähert sich maximaler Wirkung. Rangfolge: Intervall-Aerobtraining (Emax 3,50), Krafttraining (3,66), Kombination (3,49). Empfehlung: Intervall-Aerobtraining oder Kraft für gute Ausdauer, Mind-Body für begrenzte Toleranz.</w:t>
      </w:r>
    </w:p>
    <w:p>
      <w:r>
        <w:rPr>
          <w:b/>
          <w:sz w:val="19"/>
        </w:rPr>
        <w:t xml:space="preserve">Übertragbarkeit: </w:t>
      </w:r>
      <w:r>
        <w:rPr>
          <w:sz w:val="19"/>
        </w:rPr>
        <w:t>Internationale Metaanalyse, Design übertragbar auf deutsche Rehabilitationsprogramme.</w:t>
      </w:r>
    </w:p>
    <w:p>
      <w:r>
        <w:rPr>
          <w:color w:val="5A7D3A"/>
          <w:sz w:val="18"/>
        </w:rPr>
        <w:t>https://pubmed.ncbi.nlm.nih.gov/42913481/</w:t>
      </w:r>
    </w:p>
    <w:p>
      <w:pPr>
        <w:pStyle w:val="Heading2"/>
      </w:pPr>
      <w:r>
        <w:t>REBIRTH-Studie: Bromocriptin bei Peripartum-Kardiomyopathie – 200 Frauen randomisiert</w:t>
      </w:r>
    </w:p>
    <w:p>
      <w:r>
        <w:rPr>
          <w:i/>
          <w:color w:val="666666"/>
          <w:sz w:val="18"/>
        </w:rPr>
        <w:t>Wang T et al.  ·  JACC Heart Fail  ·  21.10.2026  ·  PMID 42911149</w:t>
      </w:r>
    </w:p>
    <w:p>
      <w:r>
        <w:t>Randomisierte Studie mit 200 Frauen mit Peripartum-Kardiomyopathie (LVEF ≤40 % innerhalb 5 Monate postpartal), die Bromocriptin versus Placebo zusätzlich zur Leitlinien-Therapie erhalten; Primärendpunkt LVEF bei 6 Monaten.</w:t>
      </w:r>
    </w:p>
    <w:p>
      <w:r>
        <w:rPr>
          <w:b/>
        </w:rPr>
        <w:t xml:space="preserve">Ergebnis: </w:t>
      </w:r>
      <w:r>
        <w:t>Studie noch laufend, Ergebnisse für 2027 erwartet. Sekundärendpunkte: LVEF 12 Monate, Ereignisfreiheit (Tod, Herztransplantation, LVAD), Hospitaliserungsfreiheit bis 3 Jahre. 50 Frauen in separater Stillkohorte (ausgeschlossen von Randomisierung).</w:t>
      </w:r>
    </w:p>
    <w:p>
      <w:r>
        <w:rPr>
          <w:b/>
          <w:sz w:val="19"/>
        </w:rPr>
        <w:t xml:space="preserve">Übertragbarkeit: </w:t>
      </w:r>
      <w:r>
        <w:rPr>
          <w:sz w:val="19"/>
        </w:rPr>
        <w:t>Nordamerikanische Studie in diverser Population, Therapieprinzipien auf Deutschland übertragbar.</w:t>
      </w:r>
    </w:p>
    <w:p>
      <w:r>
        <w:rPr>
          <w:color w:val="5A7D3A"/>
          <w:sz w:val="18"/>
        </w:rPr>
        <w:t>https://pubmed.ncbi.nlm.nih.gov/42911149/</w:t>
      </w:r>
    </w:p>
    <w:p>
      <w:pPr>
        <w:pStyle w:val="Heading2"/>
      </w:pPr>
      <w:r>
        <w:t>TAVI + koronare Stenose: Physiology-gesteuerte PCI reduziert MACE um 20 %</w:t>
      </w:r>
    </w:p>
    <w:p>
      <w:r>
        <w:rPr>
          <w:i/>
          <w:color w:val="666666"/>
          <w:sz w:val="18"/>
        </w:rPr>
        <w:t>Bujak K et al.  ·  EuroIntervention  ·  19.10.2026  ·  PMID 42910974</w:t>
      </w:r>
    </w:p>
    <w:p>
      <w:r>
        <w:t>Metaanalyse von 5 RCTs (N=1.644) zum Vergleich von Routine-Revaskularisierung vs. konservativer Behandlung bei koronarer Erkrankung vor/während TAVI; Netzwerk-Metaanalyse zu PCI-Strategien.</w:t>
      </w:r>
    </w:p>
    <w:p>
      <w:r>
        <w:rPr>
          <w:b/>
        </w:rPr>
        <w:t xml:space="preserve">Ergebnis: </w:t>
      </w:r>
      <w:r>
        <w:t>Routine-PCI vs. konservativ: MACE-Risiko gesenkt (RR 0,80, 95%-KI 0,65–0,98), ungeplante Revaskularisierung gesenkt (RR 0,30, 95%-KI 0,11–0,83), Major-Blutung erhöht (RR 1,57, 95%-KI 1,07–2,32). Physiology-gesteuerte PCI rangiert höchste für ischämische Outcomes.</w:t>
      </w:r>
    </w:p>
    <w:p>
      <w:r>
        <w:rPr>
          <w:b/>
          <w:sz w:val="19"/>
        </w:rPr>
        <w:t xml:space="preserve">Übertragbarkeit: </w:t>
      </w:r>
      <w:r>
        <w:rPr>
          <w:sz w:val="19"/>
        </w:rPr>
        <w:t>Europäisch-amerikanische Evidenz, Koronaranatomie und Revaskularisierungsprinzipien Deutschland-übertragbar.</w:t>
      </w:r>
    </w:p>
    <w:p>
      <w:r>
        <w:rPr>
          <w:color w:val="5A7D3A"/>
          <w:sz w:val="18"/>
        </w:rPr>
        <w:t>https://pubmed.ncbi.nlm.nih.gov/42910974/</w:t>
      </w:r>
    </w:p>
    <w:p>
      <w:pPr>
        <w:pStyle w:val="Heading2"/>
      </w:pPr>
      <w:r>
        <w:t>Frankreich: PCI-Einsatz stieg um 40 %, Bypass-Eingriffe sanken um 8 % (2014–2023)</w:t>
      </w:r>
    </w:p>
    <w:p>
      <w:r>
        <w:rPr>
          <w:i/>
          <w:color w:val="666666"/>
          <w:sz w:val="18"/>
        </w:rPr>
        <w:t>Hauguel-Moreau M et al.  ·  J Am Heart Assoc  ·  20.10.2026  ·  PMID 42885791</w:t>
      </w:r>
    </w:p>
    <w:p>
      <w:r>
        <w:t>Analyse der Französischen Nationalen Krankenhausdatenbank von 2014 bis 2023 mit 6.290.951 koronaren Interventionen bei 2.985.822 Patienten zur Darstellung zeitlicher Trends.</w:t>
      </w:r>
    </w:p>
    <w:p>
      <w:r>
        <w:rPr>
          <w:b/>
        </w:rPr>
        <w:t xml:space="preserve">Ergebnis: </w:t>
      </w:r>
      <w:r>
        <w:t>Jährliche Interventionen stiegen um 33 %; Herzkatheter +32 %, PCI +40 %, Bypass –8 %. PCI-Wachstum war elektiv (+53,5 % auf 56,9 %); Multigefäß-Erkrankung stieg von 16,7 % auf 19,0 %. Letalität nach PCI: 2,05 % (2014) → 1,58 % (2023), nach Bypass: 3,5 % → 2,9 %.</w:t>
      </w:r>
    </w:p>
    <w:p>
      <w:r>
        <w:rPr>
          <w:b/>
          <w:sz w:val="19"/>
        </w:rPr>
        <w:t xml:space="preserve">Übertragbarkeit: </w:t>
      </w:r>
      <w:r>
        <w:rPr>
          <w:sz w:val="19"/>
        </w:rPr>
        <w:t>Französische Versorgungsdaten, Sozialversicherungssystem ähnlich Deutschland.</w:t>
      </w:r>
    </w:p>
    <w:p>
      <w:r>
        <w:rPr>
          <w:color w:val="5A7D3A"/>
          <w:sz w:val="18"/>
        </w:rPr>
        <w:t>https://pubmed.ncbi.nlm.nih.gov/42885791/</w:t>
      </w:r>
    </w:p>
    <w:p>
      <w:pPr>
        <w:pStyle w:val="Heading1"/>
      </w:pPr>
      <w:r>
        <w:t>Aufgenommen am 23.10.2026</w:t>
      </w:r>
    </w:p>
    <w:p>
      <w:pPr>
        <w:pStyle w:val="Heading2"/>
      </w:pPr>
      <w:r>
        <w:t>Akute Herzinsuffizienz in der Notaufnahme: Konsens zur Diagnostik und Management</w:t>
      </w:r>
    </w:p>
    <w:p>
      <w:r>
        <w:rPr>
          <w:i/>
          <w:color w:val="666666"/>
          <w:sz w:val="18"/>
        </w:rPr>
        <w:t>Miró Ò et al.  ·  Eur Heart J  ·  22.10.2026  ·  PMID 42906949</w:t>
      </w:r>
    </w:p>
    <w:p>
      <w:r>
        <w:t>Europäische Konsensusempfehlungen zur Diagnostik, Triage und Behandlung akuter Herzinsuffizienz in Notaufnahmen und Rettungsdiensten, mit Fokus auf phenotypische Klassifikation, Biomarker, Bildgebung, Ventilation, Diuretika und frühe Therapieinitiierung.</w:t>
      </w:r>
    </w:p>
    <w:p>
      <w:r>
        <w:rPr>
          <w:b/>
        </w:rPr>
        <w:t xml:space="preserve">Ergebnis: </w:t>
      </w:r>
      <w:r>
        <w:t>Das Dokument betont die kritische Bedeutung einer schnellen phenotypischen Klassifikation in akute dekompensierte Herzinsuffizienz, akutes Lungenödem, isoliertes Rechtsherzversagen oder kardiogener Schock zur Steuerung der Frühbehandlung und Triage. Es identifiziert Wissenslücken und Forschungsprioritäten, einschließlich pragmatischer Studien zu Rettungsdienst-Interventionen und Biomarker-gestützter Therapie zur Verbesserung der Outcomes bei akuter Herzinsuffizienz.</w:t>
      </w:r>
    </w:p>
    <w:p>
      <w:r>
        <w:rPr>
          <w:b/>
          <w:sz w:val="19"/>
        </w:rPr>
        <w:t xml:space="preserve">Übertragbarkeit: </w:t>
      </w:r>
      <w:r>
        <w:rPr>
          <w:sz w:val="19"/>
        </w:rPr>
        <w:t>Europäische Konsensusarbeit, mehrere deutsche und österreichische Zentren, direkt auf europäische Notfall-Strukturen übertragbar.</w:t>
      </w:r>
    </w:p>
    <w:p>
      <w:r>
        <w:rPr>
          <w:color w:val="5A7D3A"/>
          <w:sz w:val="18"/>
        </w:rPr>
        <w:t>https://pubmed.ncbi.nlm.nih.gov/42906949/</w:t>
      </w:r>
    </w:p>
    <w:p>
      <w:pPr>
        <w:pStyle w:val="Heading2"/>
      </w:pPr>
      <w:r>
        <w:t>Digitale Gesundheitsinterventionen bei KHK: Weniger kardiovaskuläre Ereignisse</w:t>
      </w:r>
    </w:p>
    <w:p>
      <w:r>
        <w:rPr>
          <w:i/>
          <w:color w:val="666666"/>
          <w:sz w:val="18"/>
        </w:rPr>
        <w:t>Chan A et al.  ·  Eur J Prev Cardiol  ·  22.10.2026  ·  PMID 42906925</w:t>
      </w:r>
    </w:p>
    <w:p>
      <w:r>
        <w:t>Systematischer Review und Metaanalyse von 72 Studien (45 in Meta-Analyse, 23.111 Patienten) zur Wirksamkeit digitaler Gesundheitsinterventionen zur Versorgungsintegration bei Koronarer Herzkrankheit im Vergleich zu üblicher Behandlung.</w:t>
      </w:r>
    </w:p>
    <w:p>
      <w:r>
        <w:rPr>
          <w:b/>
        </w:rPr>
        <w:t xml:space="preserve">Ergebnis: </w:t>
      </w:r>
      <w:r>
        <w:t>Digitale Interventionen mit Versorgungsintegration reduzieren kardiovaskuläre Ereignisse (OR 0,74 [0,59–0,92], p=0,02), zeigen aber keinen signifikanten Effekt auf Gesamtsterblichkeit oder Readmissionen. Aktuelle Evidenz konzentriert sich auf patientenzentrierte Integration; systemic-level Integration bleibt untersucht.</w:t>
      </w:r>
    </w:p>
    <w:p>
      <w:r>
        <w:rPr>
          <w:b/>
          <w:sz w:val="19"/>
        </w:rPr>
        <w:t xml:space="preserve">Übertragbarkeit: </w:t>
      </w:r>
      <w:r>
        <w:rPr>
          <w:sz w:val="19"/>
        </w:rPr>
        <w:t>Internationale Evidenz, Übertragung auf deutsches ambulantes Versorgungssystem mit strukturierten Herzprogrammen möglich.</w:t>
      </w:r>
    </w:p>
    <w:p>
      <w:r>
        <w:rPr>
          <w:color w:val="5A7D3A"/>
          <w:sz w:val="18"/>
        </w:rPr>
        <w:t>https://pubmed.ncbi.nlm.nih.gov/42906925/</w:t>
      </w:r>
    </w:p>
    <w:p>
      <w:pPr>
        <w:pStyle w:val="Heading2"/>
      </w:pPr>
      <w:r>
        <w:t>Schrittmacher-induzierte Kardiomyopathie: RVOT-Position reduziert Risiko</w:t>
      </w:r>
    </w:p>
    <w:p>
      <w:r>
        <w:rPr>
          <w:i/>
          <w:color w:val="666666"/>
          <w:sz w:val="18"/>
        </w:rPr>
        <w:t>Van Weyenbergh T et al.  ·  Heart Rhythm  ·  21.10.2026  ·  PMID 42906715</w:t>
      </w:r>
    </w:p>
    <w:p>
      <w:r>
        <w:t>Retrospektive Single-Center-Studie an 401 Patienten mit leadless-Ventrikelschrittmachern (Micra AV n=145) zur Erfassung der Häufigkeit therapie-induzierter Kardiomyopathie und Assoziation von Implantationsort und AV-synchroner Stimulation mit Outcome.</w:t>
      </w:r>
    </w:p>
    <w:p>
      <w:r>
        <w:rPr>
          <w:b/>
        </w:rPr>
        <w:t xml:space="preserve">Ergebnis: </w:t>
      </w:r>
      <w:r>
        <w:t>Über 33,0 Monate median: Kardiomyopathie in 13,6% (4,8%/Jahr), therapie-induzierte Kardiomyopathie in 5,5% (1,9%/Jahr). RVOT-Implantation assoziiert mit niedrigerer Kardiomyopathie-Inzidenz (HR 0,48, p=0,019) und langsamerem Auswurffrraktions-Rückgang (−0,56%/Jahr vs. −1,43%/Jahr, p=0,013). Micra-AV-Geräte zeigten keinen Vorteil gegenüber VR-Geräten.</w:t>
      </w:r>
    </w:p>
    <w:p>
      <w:r>
        <w:rPr>
          <w:b/>
          <w:sz w:val="19"/>
        </w:rPr>
        <w:t xml:space="preserve">Übertragbarkeit: </w:t>
      </w:r>
      <w:r>
        <w:rPr>
          <w:sz w:val="19"/>
        </w:rPr>
        <w:t>Belgische Universitätsklinik, europäische Implantationspraxis und Langzeit-Überwachung.</w:t>
      </w:r>
    </w:p>
    <w:p>
      <w:r>
        <w:rPr>
          <w:color w:val="5A7D3A"/>
          <w:sz w:val="18"/>
        </w:rPr>
        <w:t>https://pubmed.ncbi.nlm.nih.gov/42906715/</w:t>
      </w:r>
    </w:p>
    <w:p>
      <w:pPr>
        <w:pStyle w:val="Heading2"/>
      </w:pPr>
      <w:r>
        <w:t>Pulsfeldablation bei Vorhofflimmern: 75–85 % Arrhythmiefreiheit paroxysmal</w:t>
      </w:r>
    </w:p>
    <w:p>
      <w:r>
        <w:rPr>
          <w:i/>
          <w:color w:val="666666"/>
          <w:sz w:val="18"/>
        </w:rPr>
        <w:t>Boveda S et al.  ·  Europace  ·  21.10.2026  ·  PMID 42905913</w:t>
      </w:r>
    </w:p>
    <w:p>
      <w:r>
        <w:t>Europäische Übersichtsarbeit zur Pulsfeldablation (PFA) bei paroxysmalem und persistierendem Vorhofflimmern, basierend auf aktuellen klinischen Studien, mit Angaben zu Effektivität, Komplikationen und Patientenberichteten Ergebnissen.</w:t>
      </w:r>
    </w:p>
    <w:p>
      <w:r>
        <w:rPr>
          <w:b/>
        </w:rPr>
        <w:t xml:space="preserve">Ergebnis: </w:t>
      </w:r>
      <w:r>
        <w:t>Paroxysmal Vorhofflimmern: 12-Monats-Arrhythmiefreiheit 75–85 %, Komplikationsrate 1–3 %. Persistierendes Vorhofflimmern: 60–75 % Arrhythmiefreiheit, &lt;3 % schwere Komplikationen. PFA zeigt verbesserte prozedurale Verträglichkeit, reduzierten Analgetika-Bedarf und mögliche Same-Day-Entlassung gegenüber thermalen Methoden.</w:t>
      </w:r>
    </w:p>
    <w:p>
      <w:r>
        <w:rPr>
          <w:b/>
          <w:sz w:val="19"/>
        </w:rPr>
        <w:t xml:space="preserve">Übertragbarkeit: </w:t>
      </w:r>
      <w:r>
        <w:rPr>
          <w:sz w:val="19"/>
        </w:rPr>
        <w:t>Europäische Konsensusarbeit mehrerer Länder (Frankreich, Deutschland, Belgien, UK), direkt auf deutsche EP-Labore übertragbar.</w:t>
      </w:r>
    </w:p>
    <w:p>
      <w:r>
        <w:rPr>
          <w:color w:val="5A7D3A"/>
          <w:sz w:val="18"/>
        </w:rPr>
        <w:t>https://pubmed.ncbi.nlm.nih.gov/42905913/</w:t>
      </w:r>
    </w:p>
    <w:p>
      <w:pPr>
        <w:pStyle w:val="Heading2"/>
      </w:pPr>
      <w:r>
        <w:t>Pulsfeldablation: Echtzeit-Kontrolle der Läsions-Qualität noch nicht standardisiert</w:t>
      </w:r>
    </w:p>
    <w:p>
      <w:r>
        <w:rPr>
          <w:i/>
          <w:color w:val="666666"/>
          <w:sz w:val="18"/>
        </w:rPr>
        <w:t>Cespón-Fernández M et al.  ·  Europace  ·  21.10.2026  ·  PMID 42905912</w:t>
      </w:r>
    </w:p>
    <w:p>
      <w:r>
        <w:t>Europäischer Übersichtsartikel zu Methoden der intraprozedualen Überwachung und Kontrolle der Läsions-Bildung und -Dauerhaftigkeit bei Pulsfeldablation für Vorhofflimmern.</w:t>
      </w:r>
    </w:p>
    <w:p>
      <w:r>
        <w:rPr>
          <w:b/>
        </w:rPr>
        <w:t xml:space="preserve">Ergebnis: </w:t>
      </w:r>
      <w:r>
        <w:t>Läsionsgröße und -geometrie hängen primär vom elektrischen Feld und kumulativer Elektroporation ab. Konventionelle thermale Marker (Elektrogramm-Abschwächung, Impedanzänderung, Stimulationsschwelle) korrelieren schlecht mit durablerender irreversibler Elektroporation. Multiparametrische Läsions-Schätzmodelle zeigen vielversprechende präklinische Ergebnisse, klinische Validierung bleibt begrenzt. Robuste intraprozedurale Marker fehlen noch; gegenwärtige Workflows stützen sich auf standardisierte Energieprotokolle und Läsions-Überlappung.</w:t>
      </w:r>
    </w:p>
    <w:p>
      <w:r>
        <w:rPr>
          <w:b/>
          <w:sz w:val="19"/>
        </w:rPr>
        <w:t xml:space="preserve">Übertragbarkeit: </w:t>
      </w:r>
      <w:r>
        <w:rPr>
          <w:sz w:val="19"/>
        </w:rPr>
        <w:t>Europäische Arbeitsgruppe (Spanien, Schweiz, Niederlande, Belgien, USA), auf deutsche Katheterlabore anwendbar.</w:t>
      </w:r>
    </w:p>
    <w:p>
      <w:r>
        <w:rPr>
          <w:color w:val="5A7D3A"/>
          <w:sz w:val="18"/>
        </w:rPr>
        <w:t>https://pubmed.ncbi.nlm.nih.gov/42905912/</w:t>
      </w:r>
    </w:p>
    <w:p>
      <w:pPr>
        <w:pStyle w:val="Heading2"/>
      </w:pPr>
      <w:r>
        <w:t>Antikoagulation nach VHF-Ablation: Absetzen bei niedrigem Schlaganfallrisiko sicher</w:t>
      </w:r>
    </w:p>
    <w:p>
      <w:r>
        <w:rPr>
          <w:i/>
          <w:color w:val="666666"/>
          <w:sz w:val="18"/>
        </w:rPr>
        <w:t>Lee YS et al.  ·  Heart Rhythm  ·  16.10.2026  ·  PMID 42887624</w:t>
      </w:r>
    </w:p>
    <w:p>
      <w:r>
        <w:t>Post-hoc-Analyse der ALONE-AF-Studie an 840 Patienten, stratifiziert nach CHA2DS2-VASc-Score ≤2 oder ≥3, zum Vergleich Antikoagulations-Absetzen versus Fortsetzung nach erfolgreicher VHF-Ablation.</w:t>
      </w:r>
    </w:p>
    <w:p>
      <w:r>
        <w:rPr>
          <w:b/>
        </w:rPr>
        <w:t xml:space="preserve">Ergebnis: </w:t>
      </w:r>
      <w:r>
        <w:t>CHA2DS2-VASc ≤2: Primärer Endpunkt (Schlaganfall, systemische Embolie, major bleeding) in 0,4 % (Absetzen) vs. 2,4 % (Fortsetzung), Differenz −1,9 Prozentpunkte (p=0,066). CHA2DS2-VASc ≥3: 1,8 % nur in Fortsetzungs-Gruppe. Alle major-bleeding-Ereignisse (n=5) traten in Fortsetzungs-Gruppen auf. Competing-risk-Analyse bestätigte Ergebnisse.</w:t>
      </w:r>
    </w:p>
    <w:p>
      <w:r>
        <w:rPr>
          <w:b/>
          <w:sz w:val="19"/>
        </w:rPr>
        <w:t xml:space="preserve">Übertragbarkeit: </w:t>
      </w:r>
      <w:r>
        <w:rPr>
          <w:sz w:val="19"/>
        </w:rPr>
        <w:t>Koreanische Multizenterstudie, stroke-risk-Stratifizierung international anerkannt und auf Deutschland übertragbar.</w:t>
      </w:r>
    </w:p>
    <w:p>
      <w:r>
        <w:rPr>
          <w:color w:val="5A7D3A"/>
          <w:sz w:val="18"/>
        </w:rPr>
        <w:t>https://pubmed.ncbi.nlm.nih.gov/42887624/</w:t>
      </w:r>
    </w:p>
    <w:p>
      <w:pPr>
        <w:pStyle w:val="Heading1"/>
      </w:pPr>
      <w:r>
        <w:t>Aufgenommen am 22.10.2026</w:t>
      </w:r>
    </w:p>
    <w:p>
      <w:pPr>
        <w:pStyle w:val="Heading2"/>
      </w:pPr>
      <w:r>
        <w:t>Finerenone senkt Sterblichkeit stärker als steroidale MRA bei Diabetes und Nierenerkrankung</w:t>
      </w:r>
    </w:p>
    <w:p>
      <w:r>
        <w:rPr>
          <w:i/>
          <w:color w:val="666666"/>
          <w:sz w:val="18"/>
        </w:rPr>
        <w:t>Kishimori T et al.  ·  ESC Heart Fail  ·  19.10.2026  ·  PMID 42902439</w:t>
      </w:r>
    </w:p>
    <w:p>
      <w:r>
        <w:t>Retrospektive Beobachtungsstudie an 1.102 Patienten mit Typ-2-Diabetes und chronischer Nierenerkrankung ohne vorherige Herzinsuffizienz, die nach SGLT2-Inhibitoren entweder Finerenon oder steroidale Mineralokortikoid-Rezeptor-Antagonisten erhielten.</w:t>
      </w:r>
    </w:p>
    <w:p>
      <w:r>
        <w:rPr>
          <w:b/>
        </w:rPr>
        <w:t xml:space="preserve">Ergebnis: </w:t>
      </w:r>
      <w:r>
        <w:t>Finerenon war mit niedrigerer 18-Monats-Sterblichkeit (2,1 vs. 4,5 Ereignisse/100 Personenjahre; Differenz −2,41 pro 100 Personenjahre) und niedrigerem Risiko für neu aufgetretene Herzinsuffizienz (6,5 vs. 12,9; Differenz −6,38) assoziiert. Kein signifikanter Unterschied bei Nierenergebnissen. Die Autoren weisen auf residuelles Confounding hin.</w:t>
      </w:r>
    </w:p>
    <w:p>
      <w:r>
        <w:rPr>
          <w:b/>
          <w:sz w:val="19"/>
        </w:rPr>
        <w:t xml:space="preserve">Übertragbarkeit: </w:t>
      </w:r>
      <w:r>
        <w:rPr>
          <w:sz w:val="19"/>
        </w:rPr>
        <w:t>Japan, real-world-Daten aus strukturiertem Register; SGLT2-Hemmer sind in Deutschland DMP-Standard.</w:t>
      </w:r>
    </w:p>
    <w:p>
      <w:r>
        <w:rPr>
          <w:color w:val="5A7D3A"/>
          <w:sz w:val="18"/>
        </w:rPr>
        <w:t>https://pubmed.ncbi.nlm.nih.gov/42902439/</w:t>
      </w:r>
    </w:p>
    <w:p>
      <w:pPr>
        <w:pStyle w:val="Heading2"/>
      </w:pPr>
      <w:r>
        <w:t>Bewegungstraining bei älteren Herzinsuffizienz-Patienten mit Gebrechlichkeit: Machbar und wirksam</w:t>
      </w:r>
    </w:p>
    <w:p>
      <w:r>
        <w:rPr>
          <w:i/>
          <w:color w:val="666666"/>
          <w:sz w:val="18"/>
        </w:rPr>
        <w:t>Krishnan S et al.  ·  ESC Heart Fail  ·  21.10.2026  ·  PMID 42902357</w:t>
      </w:r>
    </w:p>
    <w:p>
      <w:r>
        <w:t>Narratives Review zu Belastungstraining bei älteren Patienten mit Herzinsuffizienz und Gebrechlichkeit, mit Fokus auf Pathophysiologie, Sicherheit, optimale Programmgestaltung und Adherence-Strategien.</w:t>
      </w:r>
    </w:p>
    <w:p>
      <w:r>
        <w:rPr>
          <w:b/>
        </w:rPr>
        <w:t xml:space="preserve">Ergebnis: </w:t>
      </w:r>
      <w:r>
        <w:t>Bewegungstraining verbessert sowohl die kardiopulmonale Kapazität als auch den Gebrechlichkeitsstatus und reduziert herzinsuffizienzbedingte Komplikationen. Die Review identifiziert Individualisierung nach körperlicher Leistungsfähigkeit und Überwindung von Adhärenz-Barrieren als Schlüsselbedingung für Erfolg. Detaillierte Empfehlungen zur Programmgestaltung werden gegeben.</w:t>
      </w:r>
    </w:p>
    <w:p>
      <w:r>
        <w:rPr>
          <w:b/>
          <w:sz w:val="19"/>
        </w:rPr>
        <w:t xml:space="preserve">Übertragbarkeit: </w:t>
      </w:r>
      <w:r>
        <w:rPr>
          <w:sz w:val="19"/>
        </w:rPr>
        <w:t>UK (NIHR Leicester); Rehabilitations-Standards sind europäisch etabliert, übertragbar auf deutsche Cardiac-Rehabilitation-Programme.</w:t>
      </w:r>
    </w:p>
    <w:p>
      <w:r>
        <w:rPr>
          <w:color w:val="5A7D3A"/>
          <w:sz w:val="18"/>
        </w:rPr>
        <w:t>https://pubmed.ncbi.nlm.nih.gov/42902357/</w:t>
      </w:r>
    </w:p>
    <w:p>
      <w:pPr>
        <w:pStyle w:val="Heading2"/>
      </w:pPr>
      <w:r>
        <w:t>Drug-Coated Balloons senken Restenose an Seitenasten von Bifurkationsläsionen</w:t>
      </w:r>
    </w:p>
    <w:p>
      <w:r>
        <w:rPr>
          <w:i/>
          <w:color w:val="666666"/>
          <w:sz w:val="18"/>
        </w:rPr>
        <w:t>Ishihara T et al.  ·  Circ Cardiovasc Interv  ·  29.05.2026  ·  PMID 42900708</w:t>
      </w:r>
    </w:p>
    <w:p>
      <w:r>
        <w:t>Multizentrische randomisierte offene Studie mit 299 Patienten mit Bifurkationsläsionen, die Drug-Eluting-Stent (DES) in Hauptstamm erhielten und randomisiert zu zusätzlicher Dilatation der Seitenast mit Drug-Coated Balloon (DCB) oder konventionellem Ballon zugeteilt wurden.</w:t>
      </w:r>
    </w:p>
    <w:p>
      <w:r>
        <w:rPr>
          <w:b/>
        </w:rPr>
        <w:t xml:space="preserve">Ergebnis: </w:t>
      </w:r>
      <w:r>
        <w:t>Restenose der Seitenast nach 9 Monaten/1 Jahr war in der DCB-Gruppe niedriger als in der Non-DCB-Gruppe (8,1 % vs. 18,3 %, p=0,012). Die Inzidenz von Major Adverse Cardiac Events bei 12 Monaten war ähnlich (10,1 % vs. 12,4 %, p=0,58).</w:t>
      </w:r>
    </w:p>
    <w:p>
      <w:r>
        <w:rPr>
          <w:b/>
          <w:sz w:val="19"/>
        </w:rPr>
        <w:t xml:space="preserve">Übertragbarkeit: </w:t>
      </w:r>
      <w:r>
        <w:rPr>
          <w:sz w:val="19"/>
        </w:rPr>
        <w:t>Japan, kathetergestützte Intervention; Methodologie vergleichbar mit europäischen Standards, Ergebnis relevant für interventionelle Kardiologie.</w:t>
      </w:r>
    </w:p>
    <w:p>
      <w:r>
        <w:rPr>
          <w:color w:val="5A7D3A"/>
          <w:sz w:val="18"/>
        </w:rPr>
        <w:t>https://pubmed.ncbi.nlm.nih.gov/42900708/</w:t>
      </w:r>
    </w:p>
    <w:p>
      <w:pPr>
        <w:pStyle w:val="Heading2"/>
      </w:pPr>
      <w:r>
        <w:t>IL-30 von Herzmuskelzellen reduziert Entzündung und Umbau nach Herzinfarkt</w:t>
      </w:r>
    </w:p>
    <w:p>
      <w:r>
        <w:rPr>
          <w:i/>
          <w:color w:val="666666"/>
          <w:sz w:val="18"/>
        </w:rPr>
        <w:t>Chen S et al.  ·  Basic Res Cardiol  ·  20.10.2026  ·  PMID 42900195</w:t>
      </w:r>
    </w:p>
    <w:p>
      <w:r>
        <w:t>Experimentelle Studie in transgenen Mäusen und Humanmaterial (n=75 STEMI-Patienten, longitudinale Kohorte n=247): IL-30-Mangel in Kardiomyozyten verstärkt Immunantwort der Milz und verschlechtert Herzfunktion; Effekt über B-Zell-Signaling via Glycoprotein 130.</w:t>
      </w:r>
    </w:p>
    <w:p>
      <w:r>
        <w:rPr>
          <w:b/>
        </w:rPr>
        <w:t xml:space="preserve">Ergebnis: </w:t>
      </w:r>
      <w:r>
        <w:t>Bei IL-30-defizienten Mäusen stieg Myokard-IgG-Ablagerung und Kardiomyozyten-Apoptose, Herzfunktion verschlechterte sich. Recombinant IL-30 suppresste B-Zell-Germinal-Center und verbesserte Funktion (Effekt abhängig von Milz und gp130-Signaling). Bei STEMI-Patienten: niedriges zirkulierendes IL-30 war unabhängig mit ungünstigem ventrikulärem Remodeling bei 6 Monaten assoziiert (Odds Ratio 4,44; 95%-KI 2,16–9,80; p&lt;0,001); AUC-ROC 0,738.</w:t>
      </w:r>
    </w:p>
    <w:p>
      <w:r>
        <w:rPr>
          <w:b/>
          <w:sz w:val="19"/>
        </w:rPr>
        <w:t xml:space="preserve">Übertragbarkeit: </w:t>
      </w:r>
      <w:r>
        <w:rPr>
          <w:sz w:val="19"/>
        </w:rPr>
        <w:t>China (Humankohorte Fudan University Shanghai); Mechanismus mit klinischem Biomarker-Befund, Grundlage für zukünftige therapeutische Ansätze.</w:t>
      </w:r>
    </w:p>
    <w:p>
      <w:r>
        <w:rPr>
          <w:color w:val="5A7D3A"/>
          <w:sz w:val="18"/>
        </w:rPr>
        <w:t>https://pubmed.ncbi.nlm.nih.gov/42900195/</w:t>
      </w:r>
    </w:p>
    <w:p>
      <w:pPr>
        <w:pStyle w:val="Heading2"/>
      </w:pPr>
      <w:r>
        <w:t>Stickoxid-Exposition erhöht Vorhofflimmer-Risiko um 29 %</w:t>
      </w:r>
    </w:p>
    <w:p>
      <w:r>
        <w:rPr>
          <w:i/>
          <w:color w:val="666666"/>
          <w:sz w:val="18"/>
        </w:rPr>
        <w:t>Cannon EJ et al.  ·  Heart Rhythm  ·  16.10.2026  ·  PMID 42887622</w:t>
      </w:r>
    </w:p>
    <w:p>
      <w:r>
        <w:t>Prospektive Kohortenstudie an 6.618 Teilnehmern aus 6 US-Metropolitan-Bereichen mit 16,5 Jahren Nachverfolgung; Luftschadstoff-Exposition wurde mittels räumlich-zeitlicher Modelle geschätzt, Vorhofflimmer durch Genotestung und Klinikberichte erfasst.</w:t>
      </w:r>
    </w:p>
    <w:p>
      <w:r>
        <w:rPr>
          <w:b/>
        </w:rPr>
        <w:t xml:space="preserve">Ergebnis: </w:t>
      </w:r>
      <w:r>
        <w:t>Eine Interquartil-Erhöhung von Stickstoffdioxid (NO2; 13,5 ppb) war mit 29 % höherem Vorhofflimmer-Risiko verbunden (Hazard Ratio 1,00–1,67). Assoziationen mit PM2,5, NOx und Ozon waren schwächer aber in gleicher Richtung. Mediane NO2-Exposition lag unter der EPA-Grenze von 53 ppb.</w:t>
      </w:r>
    </w:p>
    <w:p>
      <w:r>
        <w:rPr>
          <w:b/>
          <w:sz w:val="19"/>
        </w:rPr>
        <w:t xml:space="preserve">Übertragbarkeit: </w:t>
      </w:r>
      <w:r>
        <w:rPr>
          <w:sz w:val="19"/>
        </w:rPr>
        <w:t>USA; Luftqualitätsbelastung und Schwellwerte unterscheiden sich; Mechanismus-Befund (Umweltbelastung) aber generalisierbar für Prävention.</w:t>
      </w:r>
    </w:p>
    <w:p>
      <w:r>
        <w:rPr>
          <w:color w:val="5A7D3A"/>
          <w:sz w:val="18"/>
        </w:rPr>
        <w:t>https://pubmed.ncbi.nlm.nih.gov/42887622/</w:t>
      </w:r>
    </w:p>
    <w:p>
      <w:pPr>
        <w:pStyle w:val="Heading2"/>
      </w:pPr>
      <w:r>
        <w:t>Machine Learning verbessert Vorhofflimmer-Rezidiv-Vorhersage durch Ablationsqualität</w:t>
      </w:r>
    </w:p>
    <w:p>
      <w:r>
        <w:rPr>
          <w:i/>
          <w:color w:val="666666"/>
          <w:sz w:val="18"/>
        </w:rPr>
        <w:t>Wang K et al.  ·  JACC Clin Electrophysiol  ·  03.10.2026  ·  PMID 42886095</w:t>
      </w:r>
    </w:p>
    <w:p>
      <w:r>
        <w:t>Multizentrische retrospektive Kohortenstudie an 1.782 Patienten (Dezember 2021 bis Dezember 2023) aus 14 chinesischen Krankenhäusern; XGBoost-Modell integriert klinische Merkmale und Ablationsqualitäts-Metriken zur Vorhersage von 1-Jahres-Vorhofflimmer-Rezidiven.</w:t>
      </w:r>
    </w:p>
    <w:p>
      <w:r>
        <w:rPr>
          <w:b/>
        </w:rPr>
        <w:t xml:space="preserve">Ergebnis: </w:t>
      </w:r>
      <w:r>
        <w:t>16,5 % der Patienten (294/1.782) entwickelten Vorhofflimmer-Rezidive innerhalb 1 Jahr. Das XGBoost-Modell erzielte starke interne Diskrimination (AUC 0,918; 95%-KI 0,874–0,962). Klinische Features allein: AUC 0,588; mit Ablationsqualitäts-Metriken: AUC 0,918. Externe Validierung an 2 unabhängigen Zentren (n=239): AUCs 0,992 und 0,951.</w:t>
      </w:r>
    </w:p>
    <w:p>
      <w:r>
        <w:rPr>
          <w:b/>
          <w:sz w:val="19"/>
        </w:rPr>
        <w:t xml:space="preserve">Übertragbarkeit: </w:t>
      </w:r>
      <w:r>
        <w:rPr>
          <w:sz w:val="19"/>
        </w:rPr>
        <w:t>China, multizentrisch; Ablationsqualität ist ein modifizierbarer intraprozedurale Faktor, relevant für europäische Elektro-Physiologen-Standards.</w:t>
      </w:r>
    </w:p>
    <w:p>
      <w:r>
        <w:rPr>
          <w:color w:val="5A7D3A"/>
          <w:sz w:val="18"/>
        </w:rPr>
        <w:t>https://pubmed.ncbi.nlm.nih.gov/42886095/</w:t>
      </w:r>
    </w:p>
    <w:p>
      <w:pPr>
        <w:pStyle w:val="Heading1"/>
      </w:pPr>
      <w:r>
        <w:t>Aufgenommen am 21.10.2026</w:t>
      </w:r>
    </w:p>
    <w:p>
      <w:pPr>
        <w:pStyle w:val="Heading2"/>
      </w:pPr>
      <w:r>
        <w:t>Schwere Trikuspidalinsuffizienz wird meist bei fortgeschrittener Rechtsherzinsuffizienz erkannt</w:t>
      </w:r>
    </w:p>
    <w:p>
      <w:r>
        <w:rPr>
          <w:i/>
          <w:color w:val="666666"/>
          <w:sz w:val="18"/>
        </w:rPr>
        <w:t>Fiore G et al.  ·  Int J Cardiol  ·  20.10.2026  ·  PMID 42901428</w:t>
      </w:r>
    </w:p>
    <w:p>
      <w:r>
        <w:t>Retrospektive Analyse von 625 Patienten mit erstmals diagnostizierter schwerer Trikuspidalinsuffizienz und Subgruppenanalyse von 310 mit vorherigem Echokardiogramm, um zu untersuchen, ob späte Erkennung oder frühe Krankheitsprogression den schlechten Phänotyp erklärt.</w:t>
      </w:r>
    </w:p>
    <w:p>
      <w:r>
        <w:rPr>
          <w:b/>
        </w:rPr>
        <w:t xml:space="preserve">Ergebnis: </w:t>
      </w:r>
      <w:r>
        <w:t>Bei Erstdiagnose schwerer TR zeigten 66,4% Rechtsherzinsuffizienz-Stadium 3 und 17,3% Stadium 4, nur 16,3% Stadium 1–2. Unter 310 Patienten mit Voraufnahme waren bereits 78% in Stadium 3–4, bevor die schwere TR erkannt wurde, nur 7% hatten Stadium 4 erreicht. Höhere RHF-Stadien korrelierten mit 2-Jahres-Mortalität.</w:t>
      </w:r>
    </w:p>
    <w:p>
      <w:r>
        <w:rPr>
          <w:b/>
          <w:sz w:val="19"/>
        </w:rPr>
        <w:t xml:space="preserve">Übertragbarkeit: </w:t>
      </w:r>
      <w:r>
        <w:rPr>
          <w:sz w:val="19"/>
        </w:rPr>
        <w:t>Italien, Universitätsklinik, funktionelle TR überwiegt mit 85% der Fälle</w:t>
      </w:r>
    </w:p>
    <w:p>
      <w:r>
        <w:rPr>
          <w:color w:val="5A7D3A"/>
          <w:sz w:val="18"/>
        </w:rPr>
        <w:t>https://pubmed.ncbi.nlm.nih.gov/42901428/</w:t>
      </w:r>
    </w:p>
    <w:p>
      <w:pPr>
        <w:pStyle w:val="Heading2"/>
      </w:pPr>
      <w:r>
        <w:t>LGE-Dispersions-Mapping sagt Herzrhythmusstörungen nach Herzinfarkt voraus</w:t>
      </w:r>
    </w:p>
    <w:p>
      <w:r>
        <w:rPr>
          <w:i/>
          <w:color w:val="666666"/>
          <w:sz w:val="18"/>
        </w:rPr>
        <w:t>Licordari R et al.  ·  Int J Cardiol  ·  20.10.2026  ·  PMID 42901427</w:t>
      </w:r>
    </w:p>
    <w:p>
      <w:r>
        <w:t>Retrospektive Analyse von 364 Patienten mit Herzinfarkt in der Vorgeschichte, um zu prüfen, ob eine neue MRT-Messung (LGE-Dispersions-Score) das Risiko für plötzlichen Herztod, Kammerflimmern und ICD-Schocks vorhersagt.</w:t>
      </w:r>
    </w:p>
    <w:p>
      <w:r>
        <w:rPr>
          <w:b/>
        </w:rPr>
        <w:t xml:space="preserve">Ergebnis: </w:t>
      </w:r>
      <w:r>
        <w:t>Bei 42 arrhythmischen Ereignissen während 4 Jahren zeigte sich ein LGE-Dispersions-Score &gt;0,5 als unabhängiger Prädiktor (Hazard Ratio 1,16 pro 0,1-Punkte-Anstieg, 95%-KI 1,03–1,29; p=0,005). Der Score war bei Patienten mit erhaltener Auswurffraktion &gt;35% der einzige unabhängige Prädiktor und übertraf die Vorhersagekraft durch Auswurffraktion oder LGE-Ausmaß.</w:t>
      </w:r>
    </w:p>
    <w:p>
      <w:r>
        <w:rPr>
          <w:b/>
          <w:sz w:val="19"/>
        </w:rPr>
        <w:t xml:space="preserve">Übertragbarkeit: </w:t>
      </w:r>
      <w:r>
        <w:rPr>
          <w:sz w:val="19"/>
        </w:rPr>
        <w:t>Italien, Universitätszentren, externe Validierung erforderlich vor klinischer Anwendung</w:t>
      </w:r>
    </w:p>
    <w:p>
      <w:r>
        <w:rPr>
          <w:color w:val="5A7D3A"/>
          <w:sz w:val="18"/>
        </w:rPr>
        <w:t>https://pubmed.ncbi.nlm.nih.gov/42901427/</w:t>
      </w:r>
    </w:p>
    <w:p>
      <w:pPr>
        <w:pStyle w:val="Heading2"/>
      </w:pPr>
      <w:r>
        <w:t>CD36-Genvariante trägt mehr zur dilatativen Kardiomyopathie bei Afrikanern bei als TTN-Mutationen</w:t>
      </w:r>
    </w:p>
    <w:p>
      <w:r>
        <w:rPr>
          <w:i/>
          <w:color w:val="666666"/>
          <w:sz w:val="18"/>
        </w:rPr>
        <w:t>Challa SP et al.  ·  JAMA  ·  19.10.2026  ·  PMID 42895716</w:t>
      </w:r>
    </w:p>
    <w:p>
      <w:r>
        <w:t>Genetische Assoziationsstudie in 4 US-Kohorten (n=82.623 afrikanische Abstammung, 1.316 Kardiomyopathie-Fälle) zur Bestimmung des Beitrags des CD36-Nonsense-Variants Y325* im Vergleich zu TTN-Trunkierungsvarianten und anderen etablierten Genen.</w:t>
      </w:r>
    </w:p>
    <w:p>
      <w:r>
        <w:rPr>
          <w:b/>
        </w:rPr>
        <w:t xml:space="preserve">Ergebnis: </w:t>
      </w:r>
      <w:r>
        <w:t>Homozygote CD36-Y325*-Träger zeigten erhöhtes Kardiomyopathie-Risiko (OR 4,8; 95%-KI 3,1–7,3), Heterozygote (OR 1,4; 95%-KI 1,2–1,7). TTN-Trunkierungen: OR 8,5 (95%-KI 5,5–13,0). Population-attributierter Anteil CD36: 9,0% (6,2% heterozygot, 2,8% homozygot) übertraf TTN-Anteil von 3,7%. CD36 erklärte damit mehr Krankheitslast als bislang angenommene Haupt-Gene.</w:t>
      </w:r>
    </w:p>
    <w:p>
      <w:r>
        <w:rPr>
          <w:b/>
          <w:sz w:val="19"/>
        </w:rPr>
        <w:t xml:space="preserve">Übertragbarkeit: </w:t>
      </w:r>
      <w:r>
        <w:rPr>
          <w:sz w:val="19"/>
        </w:rPr>
        <w:t>USA, 4 große klinische Kohorten, Bedeutung ethnischer Repräsentation in Genomforschung</w:t>
      </w:r>
    </w:p>
    <w:p>
      <w:r>
        <w:rPr>
          <w:color w:val="5A7D3A"/>
          <w:sz w:val="18"/>
        </w:rPr>
        <w:t>https://pubmed.ncbi.nlm.nih.gov/42895716/</w:t>
      </w:r>
    </w:p>
    <w:p>
      <w:pPr>
        <w:pStyle w:val="Heading2"/>
      </w:pPr>
      <w:r>
        <w:t>Dyspnoe ist Haupttreiber sexueller Inaktivität bei Herzinsuffizienz – Ärzte sprechen es kaum an</w:t>
      </w:r>
    </w:p>
    <w:p>
      <w:r>
        <w:rPr>
          <w:i/>
          <w:color w:val="666666"/>
          <w:sz w:val="18"/>
        </w:rPr>
        <w:t>Damy T et al.  ·  ESC Heart Fail  ·  19.10.2026  ·  PMID 42895114</w:t>
      </w:r>
    </w:p>
    <w:p>
      <w:r>
        <w:t>Nationale deskriptive Fragebogenstudie (ROMANT'IC) mit 1.398 Herzinsuffizienz-Patienten (921 Männer, 477 Frauen), um Unterschiede in Sexualität zwischen Geschlechtern und Altersgruppen sowie Symptombelastung zu untersuchen.</w:t>
      </w:r>
    </w:p>
    <w:p>
      <w:r>
        <w:rPr>
          <w:b/>
        </w:rPr>
        <w:t xml:space="preserve">Ergebnis: </w:t>
      </w:r>
      <w:r>
        <w:t>Von 655 Respondenten berichteten 57,8% Männer und 53,7% Frauen keine sexuelle Aktivität in 3 Monaten. Schwere Dyspnoe (NYHA 3–4) war unabhängiger Prädiktor sexueller Inaktivität (OR 3,88; 95%-KI 2,26–6,64; p&lt;0,001). Männer nannten erektile Dysfunktion (49,0%) und Nebenwirkungen (39,5%), Frauen Lustlosigkeit (65,4%) und Depression (42,3%). 72–80% hatten Sexualität mit Kardiologen nie besprochen, unabhängig von Schweregrad.</w:t>
      </w:r>
    </w:p>
    <w:p>
      <w:r>
        <w:rPr>
          <w:b/>
          <w:sz w:val="19"/>
        </w:rPr>
        <w:t xml:space="preserve">Übertragbarkeit: </w:t>
      </w:r>
      <w:r>
        <w:rPr>
          <w:sz w:val="19"/>
        </w:rPr>
        <w:t>Frankreich, multizentrisches Netzwerk, geschlechts- und symptomgerechte Beratung in Routineversorgung nicht etabliert</w:t>
      </w:r>
    </w:p>
    <w:p>
      <w:r>
        <w:rPr>
          <w:color w:val="5A7D3A"/>
          <w:sz w:val="18"/>
        </w:rPr>
        <w:t>https://pubmed.ncbi.nlm.nih.gov/42895114/</w:t>
      </w:r>
    </w:p>
    <w:p>
      <w:pPr>
        <w:pStyle w:val="Heading2"/>
      </w:pPr>
      <w:r>
        <w:t>Frauen nach Herzinfarkt zeigen stärkeren parasympathischen Rückgang bei negativer Laune</w:t>
      </w:r>
    </w:p>
    <w:p>
      <w:r>
        <w:rPr>
          <w:i/>
          <w:color w:val="666666"/>
          <w:sz w:val="18"/>
        </w:rPr>
        <w:t>Vaccarino V et al.  ·  J Am Heart Assoc  ·  16.10.2026  ·  PMID 42885808</w:t>
      </w:r>
    </w:p>
    <w:p>
      <w:r>
        <w:t>Prospektive Kohortenstudie mit 302 Patienten ≤61 Jahren (43% Frauen, Durchschnittsalter 51) mit 7-Tage-Monitoring von Stimmung/Stress per Fragebogen und gleichzeitiger Holter-Überwachung für autonome Parameter.</w:t>
      </w:r>
    </w:p>
    <w:p>
      <w:r>
        <w:rPr>
          <w:b/>
        </w:rPr>
        <w:t xml:space="preserve">Ergebnis: </w:t>
      </w:r>
      <w:r>
        <w:t>Frauen berichteten höhere negative Stimmung und Stress als Männer. Frauen zeigten niedrigere parasympathische Aktivität (Deceleration Capacity). Für jeden log-Anstieg täglich negativer Stimmung sank Deceleration Capacity bei Frauen um 4,5%, bei Männern um 0,5% (p=0,02 für Interaktion). Muster in Herzratenvariabilität ähnlich, auch nach Adjustment für andere Risikofaktoren.</w:t>
      </w:r>
    </w:p>
    <w:p>
      <w:r>
        <w:rPr>
          <w:b/>
          <w:sz w:val="19"/>
        </w:rPr>
        <w:t xml:space="preserve">Übertragbarkeit: </w:t>
      </w:r>
      <w:r>
        <w:rPr>
          <w:sz w:val="19"/>
        </w:rPr>
        <w:t>USA, verschiedene Zentren, psychosoziale Faktoren bei Frauen nach MI unterbehandelt</w:t>
      </w:r>
    </w:p>
    <w:p>
      <w:r>
        <w:rPr>
          <w:color w:val="5A7D3A"/>
          <w:sz w:val="18"/>
        </w:rPr>
        <w:t>https://pubmed.ncbi.nlm.nih.gov/42885808/</w:t>
      </w:r>
    </w:p>
    <w:p>
      <w:pPr>
        <w:pStyle w:val="Heading2"/>
      </w:pPr>
      <w:r>
        <w:t>Lipoprotein(a) und vulnerables Plaque in CT treffen zukünftige Herzinfarkte</w:t>
      </w:r>
    </w:p>
    <w:p>
      <w:r>
        <w:rPr>
          <w:i/>
          <w:color w:val="666666"/>
          <w:sz w:val="18"/>
        </w:rPr>
        <w:t>Isenstein D et al.  ·  JACC Cardiovasc Imaging  ·  09.10.2026  ·  PMID 42867429</w:t>
      </w:r>
    </w:p>
    <w:p>
      <w:r>
        <w:t>Prospektive Kohorte mit Patienten, die eine CT-Koronarangiografie erhielten, zur Untersuchung, ob Lipoprotein(a)-Spiegel und CT-Zeichen vulnerabler Plaques (Low-Attenuation-Plaque) den Myokardinfarkt vorhersagen.</w:t>
      </w:r>
    </w:p>
    <w:p>
      <w:r>
        <w:rPr>
          <w:b/>
        </w:rPr>
        <w:t xml:space="preserve">Ergebnis: </w:t>
      </w:r>
      <w:r>
        <w:t>Studie zeigt Assoziation zwischen Lipoprotein(a), vulnerablem Plaque-Phänotyp in der CT-Bildgebung und zukünftigem Myokardinfarkt, kombiniert laborchemische und bildgebende Risikomarker.</w:t>
      </w:r>
    </w:p>
    <w:p>
      <w:r>
        <w:rPr>
          <w:b/>
          <w:sz w:val="19"/>
        </w:rPr>
        <w:t xml:space="preserve">Übertragbarkeit: </w:t>
      </w:r>
      <w:r>
        <w:rPr>
          <w:sz w:val="19"/>
        </w:rPr>
        <w:t>Multinationale akademische Zentren, nicht-invasive Risikostratifizierung vor Symptomen</w:t>
      </w:r>
    </w:p>
    <w:p>
      <w:r>
        <w:rPr>
          <w:color w:val="5A7D3A"/>
          <w:sz w:val="18"/>
        </w:rPr>
        <w:t>https://pubmed.ncbi.nlm.nih.gov/42867429/</w:t>
      </w:r>
    </w:p>
    <w:p>
      <w:pPr>
        <w:pStyle w:val="Heading1"/>
      </w:pPr>
      <w:r>
        <w:t>Aufgenommen am 20.10.2026</w:t>
      </w:r>
    </w:p>
    <w:p>
      <w:pPr>
        <w:pStyle w:val="Heading2"/>
      </w:pPr>
      <w:r>
        <w:t>Leberfunktionsmuster identifizieren Hochrisiko-Patienten bei akuter Herzinsuffizienz</w:t>
      </w:r>
    </w:p>
    <w:p>
      <w:r>
        <w:rPr>
          <w:i/>
          <w:color w:val="666666"/>
          <w:sz w:val="18"/>
        </w:rPr>
        <w:t>Marcus G et al.  ·  Clin Res Cardiol  ·  19.10.2026  ·  PMID 42895544</w:t>
      </w:r>
    </w:p>
    <w:p>
      <w:r>
        <w:t>Israelische Kohortenstudie an 8332 Hospitalisierungen mit akut dekompensierter Herzinsuffizienz untersuchte, ob Muster der Leberfunktionswerte (AST, ALT, alkalische Phosphatase, Bilirubin) Prognose vorhersagen.</w:t>
      </w:r>
    </w:p>
    <w:p>
      <w:r>
        <w:rPr>
          <w:b/>
        </w:rPr>
        <w:t xml:space="preserve">Ergebnis: </w:t>
      </w:r>
      <w:r>
        <w:t>Vier Phänotypen zeigten deutlich unterschiedliche Sterblichkeit: keine Leberverletzung 3,5 %, hepatozellulär 16,3 %, cholestasisch 9,0 %, kombiniert 24,3 % (p&lt;0,001). Nach Adjustment blieben alle Verletzungsmuster unabhängige Prädiktoren für im-Hospital-Mortalität. Hepatozelluläre und kombinierte Verletzung sagten 30-Tage-Sterblichkeit und -Readmission voraus.</w:t>
      </w:r>
    </w:p>
    <w:p>
      <w:r>
        <w:rPr>
          <w:b/>
          <w:sz w:val="19"/>
        </w:rPr>
        <w:t xml:space="preserve">Übertragbarkeit: </w:t>
      </w:r>
      <w:r>
        <w:rPr>
          <w:sz w:val="19"/>
        </w:rPr>
        <w:t>Israel, vergleichbare Dokumentationspraxis; Routineparameter für deutsche Kliniken verfügbar.</w:t>
      </w:r>
    </w:p>
    <w:p>
      <w:r>
        <w:rPr>
          <w:color w:val="5A7D3A"/>
          <w:sz w:val="18"/>
        </w:rPr>
        <w:t>https://pubmed.ncbi.nlm.nih.gov/42895544/</w:t>
      </w:r>
    </w:p>
    <w:p>
      <w:pPr>
        <w:pStyle w:val="Heading2"/>
      </w:pPr>
      <w:r>
        <w:t>Echokardiographischer Atrial-Coupling-Index prognostiziert Vorhofflimmern nach Schlaganfall</w:t>
      </w:r>
    </w:p>
    <w:p>
      <w:r>
        <w:rPr>
          <w:i/>
          <w:color w:val="666666"/>
          <w:sz w:val="18"/>
        </w:rPr>
        <w:t>Giordano C et al.  ·  Clin Res Cardiol  ·  19.10.2026  ·  PMID 42895543</w:t>
      </w:r>
    </w:p>
    <w:p>
      <w:r>
        <w:t>Italienische Kohortenstudie an 285 Patienten mit embolischem Schlaganfall oder TIA unbekannter Ursache untersuchte, ob der Left Atrial Volumetric-Mechanical Coupling Index (LACI-VM) das Auftreten von Vorhofflimmern vorhersagt.</w:t>
      </w:r>
    </w:p>
    <w:p>
      <w:r>
        <w:rPr>
          <w:b/>
        </w:rPr>
        <w:t xml:space="preserve">Ergebnis: </w:t>
      </w:r>
      <w:r>
        <w:t>Über 10,9 Monate Nachbeobachtung entwickelten 24 Patienten (8,4 %) Vorhofflimmern, 62 % innerhalb eines Jahres. LACI-VM war nach Multivarianzanpassung unabhängig assoziiert mit Vorhofflimmern (HR 6,64; 95%-KI 1,34–59,88; p=0,041). Patienten mit LACI-VM &lt;2,5 und normalen Füllungsdrücken (E/e' ≤10) hatten ~2 % AF-Inzidenz; mit beeinträchtigtem LACI-VM (≥2,5) und erhöhten Drücken (E/e' &gt;10) war das Risiko ~tenfach höher (20 %).</w:t>
      </w:r>
    </w:p>
    <w:p>
      <w:r>
        <w:rPr>
          <w:b/>
          <w:sz w:val="19"/>
        </w:rPr>
        <w:t xml:space="preserve">Übertragbarkeit: </w:t>
      </w:r>
      <w:r>
        <w:rPr>
          <w:sz w:val="19"/>
        </w:rPr>
        <w:t>Italien, kardiologische Echokardiographie; einfache Messung für deutsche Stroke Units anwendbar.</w:t>
      </w:r>
    </w:p>
    <w:p>
      <w:r>
        <w:rPr>
          <w:color w:val="5A7D3A"/>
          <w:sz w:val="18"/>
        </w:rPr>
        <w:t>https://pubmed.ncbi.nlm.nih.gov/42895543/</w:t>
      </w:r>
    </w:p>
    <w:p>
      <w:pPr>
        <w:pStyle w:val="Heading2"/>
      </w:pPr>
      <w:r>
        <w:t>Lipoprotein(a) nicht assoziiert mit Reperfusionsschaden bei STEMI</w:t>
      </w:r>
    </w:p>
    <w:p>
      <w:r>
        <w:rPr>
          <w:i/>
          <w:color w:val="666666"/>
          <w:sz w:val="18"/>
        </w:rPr>
        <w:t>Holzknecht M et al.  ·  Clin Res Cardiol  ·  19.10.2026  ·  PMID 42895541</w:t>
      </w:r>
    </w:p>
    <w:p>
      <w:r>
        <w:t>Österreichische prospektive Kohortenstudie (MARINA-STEMI) an 518 STEMI-Patienten mit primärer PCI untersuchte, ob Lipoprotein(a) mit Ischämie-Reperfusionsschaden (gemessen durch kardiale Magnetresonanztomographie) korreliert.</w:t>
      </w:r>
    </w:p>
    <w:p>
      <w:r>
        <w:rPr>
          <w:b/>
        </w:rPr>
        <w:t xml:space="preserve">Ergebnis: </w:t>
      </w:r>
      <w:r>
        <w:t>LDL-Cholesterin korrelierte mit Infarktgröße (ρ=0,114; p=0,010) und war höher bei Patienten mit intramyokardialer Hämorrhagie (145 vs. 140 mg/dl; p=0,031). Lipoprotein(a) zeigte keine Korrelation mit Infarktgröße (ρ=0,051; p=0,246), keine Assoziation mit intramyokardialer Hämorrhagie (25 vs. 28 nmol/l; p=0,632), und erhöhtes Lp(a) (≥105 nmol/l) war nicht mit MACE assoziiert (8,7 % vs. 8,8 %; p=0,966).</w:t>
      </w:r>
    </w:p>
    <w:p>
      <w:r>
        <w:rPr>
          <w:b/>
          <w:sz w:val="19"/>
        </w:rPr>
        <w:t xml:space="preserve">Übertragbarkeit: </w:t>
      </w:r>
      <w:r>
        <w:rPr>
          <w:sz w:val="19"/>
        </w:rPr>
        <w:t>Österreich, vergleichbares Gesundheitssystem; zeigt Grenzen eines Biomarkers auf, relevant für deutsche Patientenselektion.</w:t>
      </w:r>
    </w:p>
    <w:p>
      <w:r>
        <w:rPr>
          <w:color w:val="5A7D3A"/>
          <w:sz w:val="18"/>
        </w:rPr>
        <w:t>https://pubmed.ncbi.nlm.nih.gov/42895541/</w:t>
      </w:r>
    </w:p>
    <w:p>
      <w:pPr>
        <w:pStyle w:val="Heading2"/>
      </w:pPr>
      <w:r>
        <w:t>ESC-Konsensus zur Nachsorge von Herztransplantierten außerhalb von Zentren</w:t>
      </w:r>
    </w:p>
    <w:p>
      <w:r>
        <w:rPr>
          <w:i/>
          <w:color w:val="666666"/>
          <w:sz w:val="18"/>
        </w:rPr>
        <w:t>Baudry G et al.  ·  Eur J Heart Fail  ·  19.10.2026  ·  PMID 42895118</w:t>
      </w:r>
    </w:p>
    <w:p>
      <w:r>
        <w:t>Europäische Konsensusstellungnahme (HFA/ACNAP/ESC) mit Handlungsempfehlungen für Nicht-Transplantationszentren zur Betreuung von Langzeit-Herztransplantierten hinsichtlich Immunsuppression, Abstoßung, Infektion, kardiale Vaskulopathie, Malignität, Nierenerkrankung und metabolischen Störungen.</w:t>
      </w:r>
    </w:p>
    <w:p>
      <w:r>
        <w:rPr>
          <w:b/>
        </w:rPr>
        <w:t xml:space="preserve">Ergebnis: </w:t>
      </w:r>
      <w:r>
        <w:t>Konsensus empfiehlt strukturierte Nachsorgemodelle mit zeitabhängigen Behandlungsprinzipien, Shared-Care-Modelle zwischen Transplantationszentren und Hausversorgern, klare Kriterien für Überweisung bei komplexen Szenarien (Fertilität, Schwangerschaft, nicht-kardiale Chirurgie, Rehabilitation, palliative Care). Besonderung: systematische Früherkennung und Koordination verringern Komplikationen.</w:t>
      </w:r>
    </w:p>
    <w:p>
      <w:r>
        <w:rPr>
          <w:b/>
          <w:sz w:val="19"/>
        </w:rPr>
        <w:t xml:space="preserve">Übertragbarkeit: </w:t>
      </w:r>
      <w:r>
        <w:rPr>
          <w:sz w:val="19"/>
        </w:rPr>
        <w:t>Europa (Deutschland Mitautor), deutschsprachige Zentren; strukturelle Vorgaben direkt übertragbar.</w:t>
      </w:r>
    </w:p>
    <w:p>
      <w:r>
        <w:rPr>
          <w:color w:val="5A7D3A"/>
          <w:sz w:val="18"/>
        </w:rPr>
        <w:t>https://pubmed.ncbi.nlm.nih.gov/42895118/</w:t>
      </w:r>
    </w:p>
    <w:p>
      <w:pPr>
        <w:pStyle w:val="Heading2"/>
      </w:pPr>
      <w:r>
        <w:t>Herzinsuffizienz zerstört die normale Struktur der Herzmuskel-Tubuli</w:t>
      </w:r>
    </w:p>
    <w:p>
      <w:r>
        <w:rPr>
          <w:i/>
          <w:color w:val="666666"/>
          <w:sz w:val="18"/>
        </w:rPr>
        <w:t>Iqbal Z et al.  ·  J Mol Cell Cardiol  ·  09.10.2026  ·  PMID 42854828</w:t>
      </w:r>
    </w:p>
    <w:p>
      <w:r>
        <w:t>Deutsche Grundlagenstudie an Gewebeschnitten von 8 nicht-insuffizienten und 13 terminal insuffizienten Spenderherzen untersuchte, ob die transmuralen Gradienten der T-Tubuli (Ionenkanäle der Myozyten) bei Herzinsuffizienz erhalten bleiben und ob kleine Biopsien repräsentativ sind.</w:t>
      </w:r>
    </w:p>
    <w:p>
      <w:r>
        <w:rPr>
          <w:b/>
        </w:rPr>
        <w:t xml:space="preserve">Ergebnis: </w:t>
      </w:r>
      <w:r>
        <w:t>In nicht-insuffizienten Herzen war die T-Tubuli-Dichte im Subepikard 45 % höher als im Subendokard (0,16 ± 0,01 % vs. 0,11 ± 0,01 %; p&lt;0,001). Bei HFrEF war die T-Tubuli-Dichte ~40 % niedriger, die extrazelluläre Matrix ~28 % (vs. ~20 %), Myozyten ~50 % breiter, und der transmuraale Gradient war aufgehoben. Apikalregionen zeigten stärkste Remodellierung, sagten aber die übrige LV-T-Tubuli-Parameter mit mittleren relativen Fehlern ~10 % voraus.</w:t>
      </w:r>
    </w:p>
    <w:p>
      <w:r>
        <w:rPr>
          <w:b/>
          <w:sz w:val="19"/>
        </w:rPr>
        <w:t xml:space="preserve">Übertragbarkeit: </w:t>
      </w:r>
      <w:r>
        <w:rPr>
          <w:sz w:val="19"/>
        </w:rPr>
        <w:t>Deutschland (Erlangen, Leipzig, Bad Oeynhausen), humane Explantate; Biopsie-Strategie für klinische T-Tubuli-Diagnostik definiert.</w:t>
      </w:r>
    </w:p>
    <w:p>
      <w:r>
        <w:rPr>
          <w:color w:val="5A7D3A"/>
          <w:sz w:val="18"/>
        </w:rPr>
        <w:t>https://pubmed.ncbi.nlm.nih.gov/42854828/</w:t>
      </w:r>
    </w:p>
    <w:p>
      <w:pPr>
        <w:pStyle w:val="Heading2"/>
      </w:pPr>
      <w:r>
        <w:t>FFR-CT prognostiziert Herzinfarkt und kardiovaskulären Tod unabhängig von Stenosegrad</w:t>
      </w:r>
    </w:p>
    <w:p>
      <w:r>
        <w:rPr>
          <w:i/>
          <w:color w:val="666666"/>
          <w:sz w:val="18"/>
        </w:rPr>
        <w:t>Bell JS et al.  ·  Circulation  ·  20.10.2026  ·  PMID 42770221</w:t>
      </w:r>
    </w:p>
    <w:p>
      <w:r>
        <w:t>Britische Kohortenstudie an 7836 Patienten mit stabiler Koronarer Herzkrankheit untersuchte, ob die computertomographisch abgeleitete Fraktionale Flussreserve (FFR-CT) zukünftige kardiovaskuläre Ereignisse vorhersagt.</w:t>
      </w:r>
    </w:p>
    <w:p>
      <w:r>
        <w:rPr>
          <w:b/>
        </w:rPr>
        <w:t xml:space="preserve">Ergebnis: </w:t>
      </w:r>
      <w:r>
        <w:t>FFR-CT-Werte ≤0,7 waren unabhängig von Stenosegrad mit erhöhtem Myokardinfarktrisiko assoziiert (adjustierte HR 2,94–3,39; p&lt;0,001), FFR-CT ≤0,5 mit kardiovaskulärem Tod (adjustierte HR 2,92; p=0,02). Ein FFR-CT-Wert von 0,67 markierte den optimalen Risikoschwellenwert. Die C-Index für Herzinfarkt oder kardiovaskulären Tod verbesserte sich mit FFR-CT um 0,012 (p&lt;0,001).</w:t>
      </w:r>
    </w:p>
    <w:p>
      <w:r>
        <w:rPr>
          <w:b/>
          <w:sz w:val="19"/>
        </w:rPr>
        <w:t xml:space="preserve">Übertragbarkeit: </w:t>
      </w:r>
      <w:r>
        <w:rPr>
          <w:sz w:val="19"/>
        </w:rPr>
        <w:t>Großbritannien, nationale Datenbank; Methode klinisch etabliert, übertragbar auf deutsche Screening-Strukturen.</w:t>
      </w:r>
    </w:p>
    <w:p>
      <w:r>
        <w:rPr>
          <w:color w:val="5A7D3A"/>
          <w:sz w:val="18"/>
        </w:rPr>
        <w:t>https://pubmed.ncbi.nlm.nih.gov/42770221/</w:t>
      </w:r>
    </w:p>
    <w:p>
      <w:pPr>
        <w:pStyle w:val="Heading1"/>
      </w:pPr>
      <w:r>
        <w:t>Aufgenommen am 19.10.2026</w:t>
      </w:r>
    </w:p>
    <w:p>
      <w:pPr>
        <w:pStyle w:val="Heading2"/>
      </w:pPr>
      <w:r>
        <w:t>GLP-1-Agonisten senken Vorhofflimmernrisiko bei Adipositas und Nierenerkrankung</w:t>
      </w:r>
    </w:p>
    <w:p>
      <w:r>
        <w:rPr>
          <w:i/>
          <w:color w:val="666666"/>
          <w:sz w:val="18"/>
        </w:rPr>
        <w:t>Hassan A et al.  ·  Int J Cardiol  ·  17.10.2026  ·  PMID 42892471</w:t>
      </w:r>
    </w:p>
    <w:p>
      <w:r>
        <w:t>Retrospektive Kohortenstudie an 7.326 propensity-gematched Patienten pro Gruppe, die GLP-1-Rezeptoragonisten (Semaglutid, Liraglutid, Tirzepatid) bei nicht-diabetischen Erwachsenen mit Adipositas und chronischer Nierenerkrankung Stages 3-5 untersuchte.</w:t>
      </w:r>
    </w:p>
    <w:p>
      <w:r>
        <w:rPr>
          <w:b/>
        </w:rPr>
        <w:t xml:space="preserve">Ergebnis: </w:t>
      </w:r>
      <w:r>
        <w:t>Nach 1 Jahr Inzidenz-Vorhofflimmern 1,63% unter GLP-1-RA vs. 2,62% ohne (HR 0,655, 95%-KI 0,508-0,844, p=0,001), entsprechend 34,5% relativer Risikoreduktion. Auch ventrikuläre Arrhythmien (HR 0,556, p=0,002) und Hospitalisierungen (HR 0,668, p&lt;0,001) signifikant reduziert. Effekte persistent über 2–3 Jahre.</w:t>
      </w:r>
    </w:p>
    <w:p>
      <w:r>
        <w:rPr>
          <w:b/>
          <w:sz w:val="19"/>
        </w:rPr>
        <w:t xml:space="preserve">Übertragbarkeit: </w:t>
      </w:r>
      <w:r>
        <w:rPr>
          <w:sz w:val="19"/>
        </w:rPr>
        <w:t>USA-Daten (TriNetX), begrenzte Direktübertragung auf deutsches System</w:t>
      </w:r>
    </w:p>
    <w:p>
      <w:r>
        <w:rPr>
          <w:color w:val="5A7D3A"/>
          <w:sz w:val="18"/>
        </w:rPr>
        <w:t>https://pubmed.ncbi.nlm.nih.gov/42892471/</w:t>
      </w:r>
    </w:p>
    <w:p>
      <w:pPr>
        <w:pStyle w:val="Heading2"/>
      </w:pPr>
      <w:r>
        <w:t>Alkoholbedingte Leberfettsucht erhöht Schlaganfallrisiko bei Vorhofflimmern</w:t>
      </w:r>
    </w:p>
    <w:p>
      <w:r>
        <w:rPr>
          <w:i/>
          <w:color w:val="666666"/>
          <w:sz w:val="18"/>
        </w:rPr>
        <w:t>Go YH et al.  ·  Heart Rhythm  ·  16.10.2026  ·  PMID 42887623</w:t>
      </w:r>
    </w:p>
    <w:p>
      <w:r>
        <w:t>Nationale koreanische Kohorte von 196.242 AF-Patienten (2010–2018, Median-Follow-up 5,9 Jahre) stratifiziert nach Leberfettsucht-Phänotyp (kein SLD, MASLD, MetALD, ALD), primärer Endpunkt ischämischer Schlaganfall, adjustierte Hazard Ratios berechnet.</w:t>
      </w:r>
    </w:p>
    <w:p>
      <w:r>
        <w:rPr>
          <w:b/>
        </w:rPr>
        <w:t xml:space="preserve">Ergebnis: </w:t>
      </w:r>
      <w:r>
        <w:t>Gegenüber kein-SLD: MASLD nicht assoziiert mit Schlaganfallrisiko (aHR 1,00, 95%-KI 0,97–1,04). MetALD: aHR 1,09 (KI 1,00–1,18); ALD: aHR 1,16 (KI 1,08–1,26). Alkoholbedingte Phänotypen zeigten höheres Risiko besonders bei niedrigerem CHA2DS2-VA-Score, aber 6-Jahres-Absolutrisiko-Differenzen &lt;1%.</w:t>
      </w:r>
    </w:p>
    <w:p>
      <w:r>
        <w:rPr>
          <w:b/>
          <w:sz w:val="19"/>
        </w:rPr>
        <w:t xml:space="preserve">Übertragbarkeit: </w:t>
      </w:r>
      <w:r>
        <w:rPr>
          <w:sz w:val="19"/>
        </w:rPr>
        <w:t>Südkorea-Kohorte, generalisierbar auf Bevölkerungen ähnlicher Baseline-Epidemiologie</w:t>
      </w:r>
    </w:p>
    <w:p>
      <w:r>
        <w:rPr>
          <w:color w:val="5A7D3A"/>
          <w:sz w:val="18"/>
        </w:rPr>
        <w:t>https://pubmed.ncbi.nlm.nih.gov/42887623/</w:t>
      </w:r>
    </w:p>
    <w:p>
      <w:pPr>
        <w:pStyle w:val="Heading2"/>
      </w:pPr>
      <w:r>
        <w:t>Kardiopulmonale Belastungstestung reduziert Herzinsuffizienz-Sterblichkeit bei Weißen und Hispanern</w:t>
      </w:r>
    </w:p>
    <w:p>
      <w:r>
        <w:rPr>
          <w:i/>
          <w:color w:val="666666"/>
          <w:sz w:val="18"/>
        </w:rPr>
        <w:t>Rice J et al.  ·  ESC Heart Fail  ·  27.08.2026  ·  PMID 42887014</w:t>
      </w:r>
    </w:p>
    <w:p>
      <w:r>
        <w:t>Retrospektive Kohortenstudie mit Propensity-Score-Matching an 8.355 Paarungen von HF-Patienten (2010–2023) aus TriNetX-Datenbanken zum Einsatz von kardiopulmonaler Belastungstestung innerhalb 1 Jahr nach Diagnose und Auswirkung auf Mortalität und Hospitalisierung nach Rasse/Ethnizität.</w:t>
      </w:r>
    </w:p>
    <w:p>
      <w:r>
        <w:rPr>
          <w:b/>
        </w:rPr>
        <w:t xml:space="preserve">Ergebnis: </w:t>
      </w:r>
      <w:r>
        <w:t>CPET-Nutzung insgesamt 1,27% (Weiße 1,39%, Schwarze 1,20%, Hispanier 0,69%, Asiaten 0,79%). 1-Jahres-Mortalität nach CPET: HR 0,58 (KI 0,51–0,65, p&lt;0,001) bei Weißen, HR 0,50 (KI 0,25–0,98, p=0,040) bei Hispanern; Schwarze zeigten Trend ohne Signifikanz (HR 0,70, p=0,214). HF-Hospitalisierung höher in CPET-Gruppe (Überwachungsbias).</w:t>
      </w:r>
    </w:p>
    <w:p>
      <w:r>
        <w:rPr>
          <w:b/>
          <w:sz w:val="19"/>
        </w:rPr>
        <w:t xml:space="preserve">Übertragbarkeit: </w:t>
      </w:r>
      <w:r>
        <w:rPr>
          <w:sz w:val="19"/>
        </w:rPr>
        <w:t>USA-Daten, Disparitäten-Befund ist übertragbar, Absolut-Zahlen sind nicht generalisierbar</w:t>
      </w:r>
    </w:p>
    <w:p>
      <w:r>
        <w:rPr>
          <w:color w:val="5A7D3A"/>
          <w:sz w:val="18"/>
        </w:rPr>
        <w:t>https://pubmed.ncbi.nlm.nih.gov/42887014/</w:t>
      </w:r>
    </w:p>
    <w:p>
      <w:pPr>
        <w:pStyle w:val="Heading2"/>
      </w:pPr>
      <w:r>
        <w:t>Linksventrikuläre Wandspannung vorhersagbar für neue Herzinsuffizienz</w:t>
      </w:r>
    </w:p>
    <w:p>
      <w:r>
        <w:rPr>
          <w:i/>
          <w:color w:val="666666"/>
          <w:sz w:val="18"/>
        </w:rPr>
        <w:t>White A et al.  ·  Am J Cardiol  ·  14.10.2026  ·  PMID 42874760</w:t>
      </w:r>
    </w:p>
    <w:p>
      <w:r>
        <w:t>Retrospektive Kohortenstudie von 29.246 adulten Patienten ohne prävalente HF oder ≥moderate Klappenvitien, bei denen Transthorakal-Echokardiografie 2014–2020 durchgeführt wurde; linksventrikuläre enddiastolische Wandspannung (LVEDWS) berechnet, Inzidenz-HF aus ICD-Codes, Cox-Regression mit Adjustment für Demografie, Komorbiditäten, BNP, LVEF, LV-Masse-Index.</w:t>
      </w:r>
    </w:p>
    <w:p>
      <w:r>
        <w:rPr>
          <w:b/>
        </w:rPr>
        <w:t xml:space="preserve">Ergebnis: </w:t>
      </w:r>
      <w:r>
        <w:t>Kohorte Median-Alter 59 Jahre, 54% Frauen, 11% Black. Median LVEDWS 14,5 (IQR 11,8–18,0) kdynes/cm². Follow-up maximal 8,2 Jahre (Median 3,7). 3.082 (11%) entwickelten Inzidenz-HF. Jeder 1-Unit-Anstieg LVEDWS: adjustierte HR 1,019 (95%-KI 1,014–1,024) für Inzidenz-HF, konsistent über Subgruppen.</w:t>
      </w:r>
    </w:p>
    <w:p>
      <w:r>
        <w:rPr>
          <w:b/>
          <w:sz w:val="19"/>
        </w:rPr>
        <w:t xml:space="preserve">Übertragbarkeit: </w:t>
      </w:r>
      <w:r>
        <w:rPr>
          <w:sz w:val="19"/>
        </w:rPr>
        <w:t>USA-Klinikdaten (Vanderbilt), Echokardiografie-Parameter sind technisch global standardisiert</w:t>
      </w:r>
    </w:p>
    <w:p>
      <w:r>
        <w:rPr>
          <w:color w:val="5A7D3A"/>
          <w:sz w:val="18"/>
        </w:rPr>
        <w:t>https://pubmed.ncbi.nlm.nih.gov/42874760/</w:t>
      </w:r>
    </w:p>
    <w:p>
      <w:pPr>
        <w:pStyle w:val="Heading2"/>
      </w:pPr>
      <w:r>
        <w:t>PCI-Aufschub vor TAVR sicher, aber bei komplexer KHK (SYNTAX &gt;17) erhöhtes Ischämierisiko</w:t>
      </w:r>
    </w:p>
    <w:p>
      <w:r>
        <w:rPr>
          <w:i/>
          <w:color w:val="666666"/>
          <w:sz w:val="18"/>
        </w:rPr>
        <w:t>Broeze GM et al.  ·  JACC Cardiovasc Interv  ·  12.10.2026  ·  PMID 42863875</w:t>
      </w:r>
    </w:p>
    <w:p>
      <w:r>
        <w:t>Substudie der randomisierten PRO-TAVI-Studie an 466 Patienten mit bedeutsamer koronarer Herzerkrankung und TAVR-Indikation, stratifiziert nach SYNTAX-Score (Ausmaß der KHK), verglichen PCI-Aufschub vs. PCI vor TAVR.</w:t>
      </w:r>
    </w:p>
    <w:p>
      <w:r>
        <w:rPr>
          <w:b/>
        </w:rPr>
        <w:t xml:space="preserve">Ergebnis: </w:t>
      </w:r>
      <w:r>
        <w:t>Primärer Endpunkt (Mortalität, MI, Schlaganfall, schwere Blutung) bei 1 Jahr nicht unterschiedlich zwischen Gruppen. Bei SYNTAX &gt;17: ischämischer Composite-Endpunkt höher in Aufschub-Gruppe (30,9% vs. 14,8%, adjustierte HR 2,43, 95%-KI 1,04–5,64, p=0,04). Blutungen weniger häufig bei Aufschub über alle SYNTAX-Kategorien.</w:t>
      </w:r>
    </w:p>
    <w:p>
      <w:r>
        <w:rPr>
          <w:b/>
          <w:sz w:val="19"/>
        </w:rPr>
        <w:t xml:space="preserve">Übertragbarkeit: </w:t>
      </w:r>
      <w:r>
        <w:rPr>
          <w:sz w:val="19"/>
        </w:rPr>
        <w:t>Niederlande (ZonMw-finanziert), vergleichbares System, direktübertragbar</w:t>
      </w:r>
    </w:p>
    <w:p>
      <w:r>
        <w:rPr>
          <w:color w:val="5A7D3A"/>
          <w:sz w:val="18"/>
        </w:rPr>
        <w:t>https://pubmed.ncbi.nlm.nih.gov/42863875/</w:t>
      </w:r>
    </w:p>
    <w:p>
      <w:pPr>
        <w:pStyle w:val="Heading2"/>
      </w:pPr>
      <w:r>
        <w:t>Netzhaut-Asymmetrie vorhersagbar für Herzinsuffizienz und koronare Erkrankung</w:t>
      </w:r>
    </w:p>
    <w:p>
      <w:r>
        <w:rPr>
          <w:i/>
          <w:color w:val="666666"/>
          <w:sz w:val="18"/>
        </w:rPr>
        <w:t>Liu A et al.  ·  J Am Heart Assoc  ·  06.10.2026  ·  PMID 42808435</w:t>
      </w:r>
    </w:p>
    <w:p>
      <w:r>
        <w:t>Prospektive UK-Biobank-Kohortenstudie an 46.836 Teilnehmern mit bilateraler optischer Kohärenztomografie der Retina, Follow-up bis 12,86 Jahre, Assoziation von Intereye-Asymmetrie retinaler Schichten mit kardiovaskulären Ereignissen mittels multivariater Cox-Regression.</w:t>
      </w:r>
    </w:p>
    <w:p>
      <w:r>
        <w:rPr>
          <w:b/>
        </w:rPr>
        <w:t xml:space="preserve">Ergebnis: </w:t>
      </w:r>
      <w:r>
        <w:t>Größere retinale Asymmetrie konsistent mit kardiovaskulärer Erkrankung assoziiert. Retinale Nervenfaserschicht-Asymmetrie zeigte stärkste Assoziationen: HR ~1,07 für Vorhofflimmern bis 1,15 für Herzinsuffizienz pro SD-Anstieg. Modelle mit Nervenfaserschicht-Asymmetrie verbesserten Risikostratifikation moderat gegenüber mittlerer Netzhautdicke allein. Proteomik deutete auf Verbindung mit extrazellulärer Matrix-Ummodellierung, Inflammation.</w:t>
      </w:r>
    </w:p>
    <w:p>
      <w:r>
        <w:rPr>
          <w:b/>
          <w:sz w:val="19"/>
        </w:rPr>
        <w:t xml:space="preserve">Übertragbarkeit: </w:t>
      </w:r>
      <w:r>
        <w:rPr>
          <w:sz w:val="19"/>
        </w:rPr>
        <w:t>UK-Daten, Screening-Marker ohne unmittelbare deutsche Umsetzung verfügbar</w:t>
      </w:r>
    </w:p>
    <w:p>
      <w:r>
        <w:rPr>
          <w:color w:val="5A7D3A"/>
          <w:sz w:val="18"/>
        </w:rPr>
        <w:t>https://pubmed.ncbi.nlm.nih.gov/42808435/</w:t>
      </w:r>
    </w:p>
    <w:p>
      <w:pPr>
        <w:pStyle w:val="Heading1"/>
      </w:pPr>
      <w:r>
        <w:t>Aufgenommen am 18.10.2026</w:t>
      </w:r>
    </w:p>
    <w:p>
      <w:pPr>
        <w:pStyle w:val="Heading2"/>
      </w:pPr>
      <w:r>
        <w:t>Mittlere sekundäre Mitralinsuffizienz nach optimierter Therapie erhöht Sterblichkeit und Hospitalisierungen</w:t>
      </w:r>
    </w:p>
    <w:p>
      <w:r>
        <w:rPr>
          <w:i/>
          <w:color w:val="666666"/>
          <w:sz w:val="18"/>
        </w:rPr>
        <w:t>Ferrero C et al.  ·  ESC Heart Fail  ·  17.10.2026  ·  PMID 42888505</w:t>
      </w:r>
    </w:p>
    <w:p>
      <w:r>
        <w:t>Kohortenstudie mit 2.468 Patienten mit Herzinsuffizienz, bei denen echokardiographisch Mitralklappenfunktion bei Baseline und nach 12 Monaten optimierter leitliniengerechter medikamentöser Therapie beurteilt wurde; Follow-up bis 6,9 Jahre auf primären Endpunkt (Sterblichkeit oder Herzinsuffizienz-Hospitalisierung).</w:t>
      </w:r>
    </w:p>
    <w:p>
      <w:r>
        <w:rPr>
          <w:b/>
        </w:rPr>
        <w:t xml:space="preserve">Ergebnis: </w:t>
      </w:r>
      <w:r>
        <w:t>80,5 % der Patienten hatten keine oder milde Mitralinsuffizienz, 15,6 % moderate und 3,9 % schwere. Bei moderater Mitralinsuffizienz nach 12 Monaten zeigten sich gegenüber keine/milder Insuffizienz erhöhte Hazard Ratios für den primären Endpunkt (HR 1,69; 95 %-KI 1,47–1,95), erhöhte Sterblichkeit (HR 1,54; 95 %-KI 1,32–1,79) und rezidivierende Hospitalisierungen (IRR 2,17; 95 %-KI 1,81–2,60). Hospitalisierungsrate 9,03 pro 100 Personenjahre ohne/mild vs. 20,0 bei moderat vs. 26,1 bei schwerer Insuffizienz.</w:t>
      </w:r>
    </w:p>
    <w:p>
      <w:r>
        <w:rPr>
          <w:b/>
          <w:sz w:val="19"/>
        </w:rPr>
        <w:t xml:space="preserve">Übertragbarkeit: </w:t>
      </w:r>
      <w:r>
        <w:rPr>
          <w:sz w:val="19"/>
        </w:rPr>
        <w:t>Spanische und italienische Universitätskliniken, direkt übertragbar auf deutsches Versorgungssystem.</w:t>
      </w:r>
    </w:p>
    <w:p>
      <w:r>
        <w:rPr>
          <w:color w:val="5A7D3A"/>
          <w:sz w:val="18"/>
        </w:rPr>
        <w:t>https://pubmed.ncbi.nlm.nih.gov/42888505/</w:t>
      </w:r>
    </w:p>
    <w:p>
      <w:pPr>
        <w:pStyle w:val="Heading2"/>
      </w:pPr>
      <w:r>
        <w:t>Versorgungslücken bei Herzinsuffizienz-Therapie in Skandinavien quantifiziert</w:t>
      </w:r>
    </w:p>
    <w:p>
      <w:r>
        <w:rPr>
          <w:i/>
          <w:color w:val="666666"/>
          <w:sz w:val="18"/>
        </w:rPr>
        <w:t>Norhammar A et al.  ·  Open Heart  ·  16.10.2026  ·  PMID 42888009</w:t>
      </w:r>
    </w:p>
    <w:p>
      <w:r>
        <w:t>Zweländer-Analyse (Schweden, Norwegen) mit nationalen Registerdaten zur Implementierung moderner Herzinsuffizienz-Therapie (GDMT, Device-Therapie) nach ESC-Leitlinien; Vergleich von Therapieintensität und Outcomes zwischen beiden Ländern und Versorgungsregionen.</w:t>
      </w:r>
    </w:p>
    <w:p>
      <w:r>
        <w:rPr>
          <w:b/>
        </w:rPr>
        <w:t xml:space="preserve">Ergebnis: </w:t>
      </w:r>
      <w:r>
        <w:t>Konkrete Implementierungsraten und Gaps in der Verordnung neuer Medikamentenklassen (SGLT2-Hemmer, GLP-1-RA) und Device-Therapien werden dokumentiert; Unterschiede in Therapieintensität zwischen Schweden und Norwegen sowie zwischen urban und rural gelegenen Zentren identifiziert; Assoziationen mit Krankenhaus-Readmission und Mortalität.</w:t>
      </w:r>
    </w:p>
    <w:p>
      <w:r>
        <w:rPr>
          <w:b/>
          <w:sz w:val="19"/>
        </w:rPr>
        <w:t xml:space="preserve">Übertragbarkeit: </w:t>
      </w:r>
      <w:r>
        <w:rPr>
          <w:sz w:val="19"/>
        </w:rPr>
        <w:t>Skandinavische Gesundheitssysteme mit ähnlicher Dokumentation und Struktur wie deutsches DMP.</w:t>
      </w:r>
    </w:p>
    <w:p>
      <w:r>
        <w:rPr>
          <w:color w:val="5A7D3A"/>
          <w:sz w:val="18"/>
        </w:rPr>
        <w:t>https://pubmed.ncbi.nlm.nih.gov/42888009/</w:t>
      </w:r>
    </w:p>
    <w:p>
      <w:pPr>
        <w:pStyle w:val="Heading2"/>
      </w:pPr>
      <w:r>
        <w:t>Vier Vorhoflimmer-Phänotypen nach Komorbiditätsprofil: Adhärenz zu integrierter Versorgung schützt alle</w:t>
      </w:r>
    </w:p>
    <w:p>
      <w:r>
        <w:rPr>
          <w:i/>
          <w:color w:val="666666"/>
          <w:sz w:val="18"/>
        </w:rPr>
        <w:t>Mantovani M et al.  ·  Heart Rhythm  ·  16.10.2026  ·  PMID 42887625</w:t>
      </w:r>
    </w:p>
    <w:p>
      <w:r>
        <w:t>Prospektive Kohortenstudie mit 1.233 Vorhofflimmer-Patienten; Latente-Klassen-Analyse von 11 kardiovaskulären und nicht-kardiovaskulären Komorbiditäten zur Identifikation klinischer Phänotypen; Median-Follow-up 542 Tage; primärer Endpunkt Kompositum aus Sterblichkeit, thromboembolischen Ereignissen und akutem Koronarsyndrom.</w:t>
      </w:r>
    </w:p>
    <w:p>
      <w:r>
        <w:rPr>
          <w:b/>
        </w:rPr>
        <w:t xml:space="preserve">Ergebnis: </w:t>
      </w:r>
      <w:r>
        <w:t>Vier LCA-Phänotypen: Low comorbidity (31,5 %), Cardio-metabolic (33,9 %), Elderly comorbid (22,9 %), Atherosclerotic-HF (11,8 %). Primärer Endpunkt trat bei 22,7 % ein. Versus Low-comorbidity-Gruppe zeigten sich erhöhte aHR: Cardio-metabolic aHR 1,64 (95 %-KI 1,13–2,39), Elderly comorbid aHR 1,62 (95 %-KI 1,09–2,42), Atherosclerotic-HF aHR 2,81 (95 %-KI 1,83–4,34). Adhärenz zu integrierter Versorgung senkte Risiko in allen Phänotypen ohne signifikante Heterogenität.</w:t>
      </w:r>
    </w:p>
    <w:p>
      <w:r>
        <w:rPr>
          <w:b/>
          <w:sz w:val="19"/>
        </w:rPr>
        <w:t xml:space="preserve">Übertragbarkeit: </w:t>
      </w:r>
      <w:r>
        <w:rPr>
          <w:sz w:val="19"/>
        </w:rPr>
        <w:t>Italienische Universitätsklinik (Modena), Versorgungsforschung übertragbar auf strukturierte deutsche Vorhoflimmer-Programme.</w:t>
      </w:r>
    </w:p>
    <w:p>
      <w:r>
        <w:rPr>
          <w:color w:val="5A7D3A"/>
          <w:sz w:val="18"/>
        </w:rPr>
        <w:t>https://pubmed.ncbi.nlm.nih.gov/42887625/</w:t>
      </w:r>
    </w:p>
    <w:p>
      <w:pPr>
        <w:pStyle w:val="Heading2"/>
      </w:pPr>
      <w:r>
        <w:t>Interatrialer Shunt: sicher bei HFrEF, aber riskant bei HFpEF</w:t>
      </w:r>
    </w:p>
    <w:p>
      <w:r>
        <w:rPr>
          <w:i/>
          <w:color w:val="666666"/>
          <w:sz w:val="18"/>
        </w:rPr>
        <w:t>Rodés-Cabau J et al.  ·  JACC Heart Fail  ·  13.10.2026  ·  PMID 42886087</w:t>
      </w:r>
    </w:p>
    <w:p>
      <w:r>
        <w:t>Randomisierte Studie RELIEVE-HF mit 605 eingeschlossenen und 508 randomisierten Patienten (370 mit Shunt-Implantationsversuch) zur Sicherheit und Dauerhaftigkeit eines Interatrial-Shunts; Stratifizierung nach Ejektionsfraktion (HFrEF ≤40 %, HFpEF &gt;40 %); Follow-up 2 Jahre mit Fokus auf Major Adverse Cardiovascular or Neurological Events (MACNE), ernsthaft unerwünschte Ereignisse und Nierenfunktion.</w:t>
      </w:r>
    </w:p>
    <w:p>
      <w:r>
        <w:rPr>
          <w:b/>
        </w:rPr>
        <w:t xml:space="preserve">Ergebnis: </w:t>
      </w:r>
      <w:r>
        <w:t>Implantationserfolg 99,7 % (369/370). Keine Shunt- oder Prozedur-assoziierten MACNE über 2 Jahre (0 %; 95 %-KI 0–0,9 %); Shunt-Offenheit 99,4 %. Bei HFrEF keine erhöhte MACNE, kein erhöhtes Blutungsrisiko, keine Nierenfunktionsverschlechterung. Bei HFpEF: erhöhte MACNE, höhere ernsthafte Ereignisrate, erhöhtes Blutungsrisiko, Nierenfunktionsverschlechterung.</w:t>
      </w:r>
    </w:p>
    <w:p>
      <w:r>
        <w:rPr>
          <w:b/>
          <w:sz w:val="19"/>
        </w:rPr>
        <w:t xml:space="preserve">Übertragbarkeit: </w:t>
      </w:r>
      <w:r>
        <w:rPr>
          <w:sz w:val="19"/>
        </w:rPr>
        <w:t>Multinationale Studie mit deutschen und europäischen Zentren, direkt auf deutsches System übertragbar.</w:t>
      </w:r>
    </w:p>
    <w:p>
      <w:r>
        <w:rPr>
          <w:color w:val="5A7D3A"/>
          <w:sz w:val="18"/>
        </w:rPr>
        <w:t>https://pubmed.ncbi.nlm.nih.gov/42886087/</w:t>
      </w:r>
    </w:p>
    <w:p>
      <w:pPr>
        <w:pStyle w:val="Heading2"/>
      </w:pPr>
      <w:r>
        <w:t>MicroRNA- und Zytokin-Signatur der kardialen Kachexie identifiziert</w:t>
      </w:r>
    </w:p>
    <w:p>
      <w:r>
        <w:rPr>
          <w:i/>
          <w:color w:val="666666"/>
          <w:sz w:val="18"/>
        </w:rPr>
        <w:t>Tambaro F et al.  ·  ESC Heart Fail  ·  27.08.2026  ·  PMID 42853063</w:t>
      </w:r>
    </w:p>
    <w:p>
      <w:r>
        <w:t>Fall-Kontroll-Studie mit 25 Herzinsuffizienz-Patienten und 10 Kontrollen; Profiling von zirkulierenden microRNAs (miR-15b, miR-29b, miR-133a, miR-486) und Wachstumsfaktoren (GDF-15, FGF-21); Assoziationen mit kardialer Kachexie (≥6 % unbeabsichtigter Gewichtsverlust in 6 Monaten), Ejektionsfraktion und NYHA-Klasse.</w:t>
      </w:r>
    </w:p>
    <w:p>
      <w:r>
        <w:rPr>
          <w:b/>
        </w:rPr>
        <w:t xml:space="preserve">Ergebnis: </w:t>
      </w:r>
      <w:r>
        <w:t>CHF-Patienten gegenüber Kontrollen: niedrigere miR-15b, miR-29b, miR-133a, miR-486 (alle p&lt;0,01); erhöhtes GDF-15 (p&lt;0,001). FGF-21 erhöht bei Kachexie (p=0,012), bei HFrEF vs. HFpEF (p=0,039), bei NYHA III-IV vs. I-II (p=0,05). miR-29b und FGF-21 zeigen Assoziationen mit Kachexie und funktioneller Beeinträchtigung.</w:t>
      </w:r>
    </w:p>
    <w:p>
      <w:r>
        <w:rPr>
          <w:b/>
          <w:sz w:val="19"/>
        </w:rPr>
        <w:t xml:space="preserve">Übertragbarkeit: </w:t>
      </w:r>
      <w:r>
        <w:rPr>
          <w:sz w:val="19"/>
        </w:rPr>
        <w:t>Italienische Universitätklinik (Rom), molekulare Grundlagen zur Therapiestratifizierung.</w:t>
      </w:r>
    </w:p>
    <w:p>
      <w:r>
        <w:rPr>
          <w:color w:val="5A7D3A"/>
          <w:sz w:val="18"/>
        </w:rPr>
        <w:t>https://pubmed.ncbi.nlm.nih.gov/42853063/</w:t>
      </w:r>
    </w:p>
    <w:p>
      <w:pPr>
        <w:pStyle w:val="Heading2"/>
      </w:pPr>
      <w:r>
        <w:t>Prognostische Marker für Langzeitüberleben mit Dauerpumpen-LVAD jenseits von 5 Jahren</w:t>
      </w:r>
    </w:p>
    <w:p>
      <w:r>
        <w:rPr>
          <w:i/>
          <w:color w:val="666666"/>
          <w:sz w:val="18"/>
        </w:rPr>
        <w:t>Velásquez-Silva C et al.  ·  ESC Heart Fail  ·  27.08.2026  ·  PMID 42841476</w:t>
      </w:r>
    </w:p>
    <w:p>
      <w:r>
        <w:t>Bizentrische Landmark-Analyse von 201 Patienten mit kontinuierlichem LVAD-Support ≥5 Jahre; Untersuchung klinischer, laborchemischer, echokardiographischer und hämodynamischer Parameter zum 5-Jahres-Zeitpunkt als Prädiktoren für Mortalität danach; Medial-Follow-up nach dem Landmark 6,9 Jahre.</w:t>
      </w:r>
    </w:p>
    <w:p>
      <w:r>
        <w:rPr>
          <w:b/>
        </w:rPr>
        <w:t xml:space="preserve">Ergebnis: </w:t>
      </w:r>
      <w:r>
        <w:t>189 Patienten mit vollständigen Daten; 77 Todesfälle während Post-Landmark-Follow-up. Unabhängige Mortalitätsprädiktoren: Alter (HR 1,04 pro Jahr; p=0,002), Hämoglobin (HR 0,84 pro mmol/l; p=0,016), MELD-XI-Score (HR 1,10 pro Einheit; p&lt;0,001), ICD-Präsenz (HR 1,60; p=0,049). Diskriminierung akzeptabel (Harrell's C-Index ~0,74).</w:t>
      </w:r>
    </w:p>
    <w:p>
      <w:r>
        <w:rPr>
          <w:b/>
          <w:sz w:val="19"/>
        </w:rPr>
        <w:t xml:space="preserve">Übertragbarkeit: </w:t>
      </w:r>
      <w:r>
        <w:rPr>
          <w:sz w:val="19"/>
        </w:rPr>
        <w:t>Deutsche Zentren dabei (Bochum, Leipzig), vergleichbare LVAD-Programme und Dokumentation.</w:t>
      </w:r>
    </w:p>
    <w:p>
      <w:r>
        <w:rPr>
          <w:color w:val="5A7D3A"/>
          <w:sz w:val="18"/>
        </w:rPr>
        <w:t>https://pubmed.ncbi.nlm.nih.gov/42841476/</w:t>
      </w:r>
    </w:p>
    <w:p>
      <w:pPr>
        <w:pStyle w:val="Heading1"/>
      </w:pPr>
      <w:r>
        <w:t>Aufgenommen am 17.10.2026</w:t>
      </w:r>
    </w:p>
    <w:p>
      <w:pPr>
        <w:pStyle w:val="Heading2"/>
      </w:pPr>
      <w:r>
        <w:t>Belgische Hausarzt-Studie zeigt: korrekte Kodierung verbessert Herzinsuffizienz-Outcomes langfristig</w:t>
      </w:r>
    </w:p>
    <w:p>
      <w:r>
        <w:rPr>
          <w:i/>
          <w:color w:val="666666"/>
          <w:sz w:val="18"/>
        </w:rPr>
        <w:t>Raat W et al.  ·  Open Heart  ·  16.10.2026  ·  PMID 42888010</w:t>
      </w:r>
    </w:p>
    <w:p>
      <w:r>
        <w:t>Belgische Kohortenstudie (OSCAR-HF) an 102 Hausarztpraxen zu langfristigen Ergebnissen bei Herzinsuffizienz-Patienten und zum Einfluss diagnostischer Kodierung in der Primärversorgung.</w:t>
      </w:r>
    </w:p>
    <w:p>
      <w:r>
        <w:rPr>
          <w:b/>
        </w:rPr>
        <w:t xml:space="preserve">Ergebnis: </w:t>
      </w:r>
      <w:r>
        <w:t>Die Studie untersucht prospektiv Sterblichkeit und Krankenhauseinweisungen bei in Hausarztpraxen identifizierten Herzinsuffizienz-Patienten und korreliert diese mit korrekter diagnostischer Kodierung; konkrete Outcome-Zahlen werden berichtet.</w:t>
      </w:r>
    </w:p>
    <w:p>
      <w:r>
        <w:rPr>
          <w:b/>
          <w:sz w:val="19"/>
        </w:rPr>
        <w:t xml:space="preserve">Übertragbarkeit: </w:t>
      </w:r>
      <w:r>
        <w:rPr>
          <w:sz w:val="19"/>
        </w:rPr>
        <w:t>Belgien, vergleichbares europäisches Gesundheitssystem und Hausarzt-zentrierte Versorgung.</w:t>
      </w:r>
    </w:p>
    <w:p>
      <w:r>
        <w:rPr>
          <w:color w:val="5A7D3A"/>
          <w:sz w:val="18"/>
        </w:rPr>
        <w:t>https://pubmed.ncbi.nlm.nih.gov/42888010/</w:t>
      </w:r>
    </w:p>
    <w:p>
      <w:pPr>
        <w:pStyle w:val="Heading2"/>
      </w:pPr>
      <w:r>
        <w:t>Sacubitril hemmt Arrhythmien über NPR-C-Aktivierung: Grundlagenmechanismus mit klinischem Entwicklungspotenzial</w:t>
      </w:r>
    </w:p>
    <w:p>
      <w:r>
        <w:rPr>
          <w:i/>
          <w:color w:val="666666"/>
          <w:sz w:val="18"/>
        </w:rPr>
        <w:t>Vogel MJ et al.  ·  ESC Heart Fail  ·  27.08.2026  ·  PMID 42887015</w:t>
      </w:r>
    </w:p>
    <w:p>
      <w:r>
        <w:t>Deutsche Mechanismusstudien an isolierten Kaninchen- und humanen induzierten pluripotenten Stammzellen-abgeleiteten Kardiomyozyten, die belegen, dass Sacubitril antiarrhythmisch durch direkte Aktivierung des natriuretischen Peptid-Rezeptors-C wirkt.</w:t>
      </w:r>
    </w:p>
    <w:p>
      <w:r>
        <w:rPr>
          <w:b/>
        </w:rPr>
        <w:t xml:space="preserve">Ergebnis: </w:t>
      </w:r>
      <w:r>
        <w:t>CNP und der NPR-C-Agonist cANP4-23 supprimierten pathologisches diastolisches sarkoplasmatisches Retikulum-Calcium-Leck in Maus-Myozyten (induziert durch ATX-II), dieser Effekt wurde durch NPR-C-Blockade aufgehoben. Sacubitrilat zeigte denselben Mechanismus; in-silico-Modellierung identifizierte plausible Bindungstasche am NPR-C-Dimer.</w:t>
      </w:r>
    </w:p>
    <w:p>
      <w:r>
        <w:rPr>
          <w:b/>
          <w:sz w:val="19"/>
        </w:rPr>
        <w:t xml:space="preserve">Übertragbarkeit: </w:t>
      </w:r>
      <w:r>
        <w:rPr>
          <w:sz w:val="19"/>
        </w:rPr>
        <w:t>Deutsche Universitäten, Grundlagenmechanismus mit klarem Path-to-Clinic für antiarrhythmische Therapie.</w:t>
      </w:r>
    </w:p>
    <w:p>
      <w:r>
        <w:rPr>
          <w:color w:val="5A7D3A"/>
          <w:sz w:val="18"/>
        </w:rPr>
        <w:t>https://pubmed.ncbi.nlm.nih.gov/42887015/</w:t>
      </w:r>
    </w:p>
    <w:p>
      <w:pPr>
        <w:pStyle w:val="Heading2"/>
      </w:pPr>
      <w:r>
        <w:t>Katheter-Ablation bei Vorhofflimmern senkt moderate Trikuspidalinsuffizienz um 51 Prozent</w:t>
      </w:r>
    </w:p>
    <w:p>
      <w:r>
        <w:rPr>
          <w:i/>
          <w:color w:val="666666"/>
          <w:sz w:val="18"/>
        </w:rPr>
        <w:t>Yim J et al.  ·  Open Heart  ·  09.10.2026  ·  PMID 42869492</w:t>
      </w:r>
    </w:p>
    <w:p>
      <w:r>
        <w:t>Systematische Übersichtsarbeit mit Metaanalyse von 17 Studien mit 2747 Patienten zu Katheter-Ablation bei Vorhofflimmern und deren Einfluss auf die Schweregrad der Trikuspidalinsuffizienz.</w:t>
      </w:r>
    </w:p>
    <w:p>
      <w:r>
        <w:rPr>
          <w:b/>
        </w:rPr>
        <w:t xml:space="preserve">Ergebnis: </w:t>
      </w:r>
      <w:r>
        <w:t>AF-Ablation war mit niedrigerer Prävalenz von moderater oder höhergradiger Trikuspidalinsuffizienz assoziiert (Risiko-Differenz −0,21, 95%-KI −0,33 bis −0,09; gepooltes Risiko-Verhältnis 0,49, 95%-KI 0,40 bis 0,60). Bei Patienten, die Sinusrhythmus behielten, war die Verbesserung größer als bei Rezidiv-Vorhofflimmern (Risiko-Differenz −0,28, 95%-KI −0,55 bis −0,01).</w:t>
      </w:r>
    </w:p>
    <w:p>
      <w:r>
        <w:rPr>
          <w:b/>
          <w:sz w:val="19"/>
        </w:rPr>
        <w:t xml:space="preserve">Übertragbarkeit: </w:t>
      </w:r>
      <w:r>
        <w:rPr>
          <w:sz w:val="19"/>
        </w:rPr>
        <w:t>Internationale Studien mit standardisierter Echokardiografie, Metaanalyse auf europäische Versorgung übertragbar.</w:t>
      </w:r>
    </w:p>
    <w:p>
      <w:r>
        <w:rPr>
          <w:color w:val="5A7D3A"/>
          <w:sz w:val="18"/>
        </w:rPr>
        <w:t>https://pubmed.ncbi.nlm.nih.gov/42869492/</w:t>
      </w:r>
    </w:p>
    <w:p>
      <w:pPr>
        <w:pStyle w:val="Heading2"/>
      </w:pPr>
      <w:r>
        <w:t>KI-Modell prognostiziert Kardiomyopathie bei ATTR-Amyloidose mit 100-prozentiger Genauigkeit</w:t>
      </w:r>
    </w:p>
    <w:p>
      <w:r>
        <w:rPr>
          <w:i/>
          <w:color w:val="666666"/>
          <w:sz w:val="18"/>
        </w:rPr>
        <w:t>Ordine L et al.  ·  Open Heart  ·  09.10.2026  ·  PMID 42869491</w:t>
      </w:r>
    </w:p>
    <w:p>
      <w:r>
        <w:t>Entwicklung eines multimodalen Machine-Learning-Modells, das klinische, elektrokardiografische und echokardiografische Daten bei 97 Patienten mit genetisch bestätigter ATTR-Amyloidose ohne initialen Herzbefall zur Vorhersage von Kardiomyopathie kombiniert.</w:t>
      </w:r>
    </w:p>
    <w:p>
      <w:r>
        <w:rPr>
          <w:b/>
        </w:rPr>
        <w:t xml:space="preserve">Ergebnis: </w:t>
      </w:r>
      <w:r>
        <w:t>Das multimodale Ensemble erreichte bei der Vorhersage einer ATTR-Kardiomyopathie im Test-Set 100-prozentige Genauigkeit mit F1-Score 1,0 (AUC 0,74–0,89 in Unimodal-Modellen). Über mittlere Follow-up von 2,5±2,2 Jahren entwickelten 15 von 97 Patienten Kardiomyopathie.</w:t>
      </w:r>
    </w:p>
    <w:p>
      <w:r>
        <w:rPr>
          <w:b/>
          <w:sz w:val="19"/>
        </w:rPr>
        <w:t xml:space="preserve">Übertragbarkeit: </w:t>
      </w:r>
      <w:r>
        <w:rPr>
          <w:sz w:val="19"/>
        </w:rPr>
        <w:t>Italienische Zentren, Methodik auf europäische Screening-Programme für seltene Erkrankungen übertragbar.</w:t>
      </w:r>
    </w:p>
    <w:p>
      <w:r>
        <w:rPr>
          <w:color w:val="5A7D3A"/>
          <w:sz w:val="18"/>
        </w:rPr>
        <w:t>https://pubmed.ncbi.nlm.nih.gov/42869491/</w:t>
      </w:r>
    </w:p>
    <w:p>
      <w:pPr>
        <w:pStyle w:val="Heading2"/>
      </w:pPr>
      <w:r>
        <w:t>Point-of-Care-Troponin-Schnelltest ermöglicht Ausschluss von Herzinfarkt in 2 Stunden bei 80 Prozent</w:t>
      </w:r>
    </w:p>
    <w:p>
      <w:r>
        <w:rPr>
          <w:i/>
          <w:color w:val="666666"/>
          <w:sz w:val="18"/>
        </w:rPr>
        <w:t>Koechlin L et al.  ·  Am Heart J  ·  13.10.2026  ·  PMID 42869272</w:t>
      </w:r>
    </w:p>
    <w:p>
      <w:r>
        <w:t>Validierung eines assay-spezifischen hs-cTnI-SPINCHIP-0/2h-Algorithmus zur Schnelltriage von Patienten mit Verdacht auf Myokardinfarkt in der Notaufnahme an Schweizer Universitätskliniken.</w:t>
      </w:r>
    </w:p>
    <w:p>
      <w:r>
        <w:rPr>
          <w:b/>
        </w:rPr>
        <w:t xml:space="preserve">Ergebnis: </w:t>
      </w:r>
      <w:r>
        <w:t>Der Algorithmus ermöglichte definitive Triage innerhalb von 2 Stunden bei etwa 80 Prozent der Patienten mit sehr hoher Sicherheit für Ausschluss und hoher Genauigkeit für Einschluss eines Myokardinfarkts. Interne Validierung durchgeführt.</w:t>
      </w:r>
    </w:p>
    <w:p>
      <w:r>
        <w:rPr>
          <w:b/>
          <w:sz w:val="19"/>
        </w:rPr>
        <w:t xml:space="preserve">Übertragbarkeit: </w:t>
      </w:r>
      <w:r>
        <w:rPr>
          <w:sz w:val="19"/>
        </w:rPr>
        <w:t>Schweiz, europäische Notaufnahmen mit ähnlicher Infrastruktur und Triage-Anforderungen.</w:t>
      </w:r>
    </w:p>
    <w:p>
      <w:r>
        <w:rPr>
          <w:color w:val="5A7D3A"/>
          <w:sz w:val="18"/>
        </w:rPr>
        <w:t>https://pubmed.ncbi.nlm.nih.gov/42869272/</w:t>
      </w:r>
    </w:p>
    <w:p>
      <w:pPr>
        <w:pStyle w:val="Heading2"/>
      </w:pPr>
      <w:r>
        <w:t>Leitlinien-gerechte Therapie und Entwässerung bei akuter Herzinsuffizienz: Implementierungsergebnisse</w:t>
      </w:r>
    </w:p>
    <w:p>
      <w:r>
        <w:rPr>
          <w:i/>
          <w:color w:val="666666"/>
          <w:sz w:val="18"/>
        </w:rPr>
        <w:t>Ivey-Miranda JB et al.  ·  Eur J Heart Fail  ·  13.10.2026  ·  PMID 42866921</w:t>
      </w:r>
    </w:p>
    <w:p>
      <w:r>
        <w:t>Übersichtsarbeit zur Umsetzung von Leitlinien-geleiteter medikamentöser Therapie und Entwässerungsstrategien bei akuter Herzinsuffizienz unter Beteiligung internationaler Experten aus USA, Polen, Niederlanden und Spanien.</w:t>
      </w:r>
    </w:p>
    <w:p>
      <w:r>
        <w:rPr>
          <w:b/>
        </w:rPr>
        <w:t xml:space="preserve">Ergebnis: </w:t>
      </w:r>
      <w:r>
        <w:t>Die Übersichtsarbeit analysiert Implementierungslücken zwischen evidenzbasierter Therapie und klinischer Praxis bei akuter Herzinsuffizienz; benennt konkrete Barrieren und bietet Lösungsansätze für optimierte Entwässerungsprotokolle und GDMT-Eskalation.</w:t>
      </w:r>
    </w:p>
    <w:p>
      <w:r>
        <w:rPr>
          <w:b/>
          <w:sz w:val="19"/>
        </w:rPr>
        <w:t xml:space="preserve">Übertragbarkeit: </w:t>
      </w:r>
      <w:r>
        <w:rPr>
          <w:sz w:val="19"/>
        </w:rPr>
        <w:t>Europäische und nordamerikanische Kliniken mit vergleichbaren Notaufnahme- und Intensivstrukturen.</w:t>
      </w:r>
    </w:p>
    <w:p>
      <w:r>
        <w:rPr>
          <w:color w:val="5A7D3A"/>
          <w:sz w:val="18"/>
        </w:rPr>
        <w:t>https://pubmed.ncbi.nlm.nih.gov/42866921/</w:t>
      </w:r>
    </w:p>
    <w:p>
      <w:pPr>
        <w:pStyle w:val="Heading1"/>
      </w:pPr>
      <w:r>
        <w:t>Aufgenommen am 16.10.2026</w:t>
      </w:r>
    </w:p>
    <w:p>
      <w:pPr>
        <w:pStyle w:val="Heading2"/>
      </w:pPr>
      <w:r>
        <w:t>Koronare Mikrogefäßerkrankung bei MINOCA mit erhöhtem Mortalitätsrisiko</w:t>
      </w:r>
    </w:p>
    <w:p>
      <w:r>
        <w:rPr>
          <w:i/>
          <w:color w:val="666666"/>
          <w:sz w:val="18"/>
        </w:rPr>
        <w:t>Carrington JG et al.  ·  Circ Cardiovasc Interv  ·  15.10.2026  ·  PMID 42877957</w:t>
      </w:r>
    </w:p>
    <w:p>
      <w:r>
        <w:t>Prospektive Kohorte (622 Patienten, 2012–2022) mit invasiver Koronarfunktionsprüfung zur Häufigkeit und Prognose der koronaren Mikrogefäßerkrankung (CMD) bei MINOCA und ANOCA.</w:t>
      </w:r>
    </w:p>
    <w:p>
      <w:r>
        <w:rPr>
          <w:b/>
        </w:rPr>
        <w:t xml:space="preserve">Ergebnis: </w:t>
      </w:r>
      <w:r>
        <w:t>CMD-Prävalenz: 71% bei MINOCA vs. 64% bei ANOCA (p=0,271); endothelium-unabhängige CMD häufiger bei MINOCA (41% vs. 21%, p&lt;0,001). MACE über Median 4,5 Jahre: 40% bei MINOCA vs. 11% bei ANOCA (adjustiertes HR 2,4, p=0,001). CMD prädikte höhere MACE in MINOCA (HR 3,6, 95%-KI 1,1–12,0) und ANOCA (HR 7,9, 95%-KI 2,9–21,8).</w:t>
      </w:r>
    </w:p>
    <w:p>
      <w:r>
        <w:rPr>
          <w:b/>
          <w:sz w:val="19"/>
        </w:rPr>
        <w:t xml:space="preserve">Übertragbarkeit: </w:t>
      </w:r>
      <w:r>
        <w:rPr>
          <w:sz w:val="19"/>
        </w:rPr>
        <w:t>USA-Klinikdaten; Sicherheitsbefund und Prognosestratifizierung übertragbar</w:t>
      </w:r>
    </w:p>
    <w:p>
      <w:r>
        <w:rPr>
          <w:color w:val="5A7D3A"/>
          <w:sz w:val="18"/>
        </w:rPr>
        <w:t>https://pubmed.ncbi.nlm.nih.gov/42877957/</w:t>
      </w:r>
    </w:p>
    <w:p>
      <w:pPr>
        <w:pStyle w:val="Heading2"/>
      </w:pPr>
      <w:r>
        <w:t>Frauen unterrepräsentiert in Herzinsuffizienz-Studien, möglicherweise besseres Ansprechen</w:t>
      </w:r>
    </w:p>
    <w:p>
      <w:r>
        <w:rPr>
          <w:i/>
          <w:color w:val="666666"/>
          <w:sz w:val="18"/>
        </w:rPr>
        <w:t>Fazzini L et al.  ·  Eur J Heart Fail  ·  15.10.2026  ·  PMID 42876202</w:t>
      </w:r>
    </w:p>
    <w:p>
      <w:r>
        <w:t>Systematische Übersichtsarbeit und Metaanalyse von 56 RCTs zur Geschlechterdifferenz bei Herzinsuffizienz-Therapien hinsichtlich Patientenrekrutierung und Therapieeffekte.</w:t>
      </w:r>
    </w:p>
    <w:p>
      <w:r>
        <w:rPr>
          <w:b/>
        </w:rPr>
        <w:t xml:space="preserve">Ergebnis: </w:t>
      </w:r>
      <w:r>
        <w:t>Frauenanteil nur 27,0% (95%-KI: 22,0–32,4%) in Medikamentenstudien und 25,3% (95%-KI: 21,0–29,9%) in Device-Studien. In HFpEF-Studien höher (49,6%) als in HFrEF (21,0%). Pooled Sex-Interaktion für Hazard Ratio 0,94 (95%-KI: 0,89–1,01), für Risk Ratio 0,81 (95%-KI: 0,68–0,96) – deutet auf potenziell besseres Benefit für Frauen hin.</w:t>
      </w:r>
    </w:p>
    <w:p>
      <w:r>
        <w:rPr>
          <w:b/>
          <w:sz w:val="19"/>
        </w:rPr>
        <w:t xml:space="preserve">Übertragbarkeit: </w:t>
      </w:r>
      <w:r>
        <w:rPr>
          <w:sz w:val="19"/>
        </w:rPr>
        <w:t>Internationale RCT-Daten, Leitlinien-relevante Frage der Geschlechtergerechtigkeit</w:t>
      </w:r>
    </w:p>
    <w:p>
      <w:r>
        <w:rPr>
          <w:color w:val="5A7D3A"/>
          <w:sz w:val="18"/>
        </w:rPr>
        <w:t>https://pubmed.ncbi.nlm.nih.gov/42876202/</w:t>
      </w:r>
    </w:p>
    <w:p>
      <w:pPr>
        <w:pStyle w:val="Heading2"/>
      </w:pPr>
      <w:r>
        <w:t>Elastische Unterschenkelbinde verbessert Diuretika-Effizienz bei dekompensierter Herzinsuffizienz</w:t>
      </w:r>
    </w:p>
    <w:p>
      <w:r>
        <w:rPr>
          <w:i/>
          <w:color w:val="666666"/>
          <w:sz w:val="18"/>
        </w:rPr>
        <w:t>Suppadungsuk S et al.  ·  Eur J Heart Fail  ·  14.10.2026  ·  PMID 42874074</w:t>
      </w:r>
    </w:p>
    <w:p>
      <w:r>
        <w:t>Retrospektive Kohortenstudie (n=176 Patienten, Mayo Clinic 2007–2017) zur Auswirkung von Unterschenkel-Kompressionsbinden auf Diuretika-Effizienz bei akut dekompensierter Herzinsuffizienz (ADHF) mit Diuretika-Resistenz.</w:t>
      </w:r>
    </w:p>
    <w:p>
      <w:r>
        <w:rPr>
          <w:b/>
        </w:rPr>
        <w:t xml:space="preserve">Ergebnis: </w:t>
      </w:r>
      <w:r>
        <w:t>Nach Anlegen der Binde: durchschnittliche tägliche Schleifendiuretika-Dosis um 1,19 mg pro 40-mg-Furosemid-Äquivalent gesenkt (95%-KI 0,22–2,2, p=0,016). Diuretika-Effizienz post-Binde 1.355 mL (IQR 1.119–1.590) pro 40 mg Furosemid vs. pre-Binde, Differenz 340 mL (95%-KI –554 bis –125, p=0,002). Urinausscheidung unverändert (2.642 vs. 2.792 mL/Tag, p=0,33). Krankenhaus-Mortalität 9,7%, mediane Liegedauer 11,4 Tage.</w:t>
      </w:r>
    </w:p>
    <w:p>
      <w:r>
        <w:rPr>
          <w:b/>
          <w:sz w:val="19"/>
        </w:rPr>
        <w:t xml:space="preserve">Übertragbarkeit: </w:t>
      </w:r>
      <w:r>
        <w:rPr>
          <w:sz w:val="19"/>
        </w:rPr>
        <w:t>US-Klinikdaten; Einfaches, potenziell kostengünstiges Verfahren, Übertragung auf deutsches Setting denkbar</w:t>
      </w:r>
    </w:p>
    <w:p>
      <w:r>
        <w:rPr>
          <w:color w:val="5A7D3A"/>
          <w:sz w:val="18"/>
        </w:rPr>
        <w:t>https://pubmed.ncbi.nlm.nih.gov/42874074/</w:t>
      </w:r>
    </w:p>
    <w:p>
      <w:pPr>
        <w:pStyle w:val="Heading2"/>
      </w:pPr>
      <w:r>
        <w:t>Pulsed-Field-Ablation als Erstlinientherapie bei Vorhofflimmern wirksam</w:t>
      </w:r>
    </w:p>
    <w:p>
      <w:r>
        <w:rPr>
          <w:i/>
          <w:color w:val="666666"/>
          <w:sz w:val="18"/>
        </w:rPr>
        <w:t>García-Bolao I et al.  ·  Europace  ·  14.10.2026  ·  PMID 42872380</w:t>
      </w:r>
    </w:p>
    <w:p>
      <w:r>
        <w:t>Europäische Multizenterstudie (FARADISE-Subanalyse) zur Wirksamkeit und Sicherheit der Pulsed-Field-Ablation als erste Ablationstherapie bei Vorhofflimmern.</w:t>
      </w:r>
    </w:p>
    <w:p>
      <w:r>
        <w:rPr>
          <w:b/>
        </w:rPr>
        <w:t xml:space="preserve">Ergebnis: </w:t>
      </w:r>
      <w:r>
        <w:t>Unter den analysierten Patienten zeigte Pulsed-Field-Ablation als First-Line-Therapie bei Vorhofflimmern gute Erfolgsraten; genaue quantitative Endpunkte (Rezidivfreiheit, Sicherheit) werden im Abstract nicht beziffert. Diese Technik stellt eine Alternative zu thermischen Ablationsverfahren dar.</w:t>
      </w:r>
    </w:p>
    <w:p>
      <w:r>
        <w:rPr>
          <w:b/>
          <w:sz w:val="19"/>
        </w:rPr>
        <w:t xml:space="preserve">Übertragbarkeit: </w:t>
      </w:r>
      <w:r>
        <w:rPr>
          <w:sz w:val="19"/>
        </w:rPr>
        <w:t>Europäische Zentren, vergleichbare interventionelle Standards</w:t>
      </w:r>
    </w:p>
    <w:p>
      <w:r>
        <w:rPr>
          <w:color w:val="5A7D3A"/>
          <w:sz w:val="18"/>
        </w:rPr>
        <w:t>https://pubmed.ncbi.nlm.nih.gov/42872380/</w:t>
      </w:r>
    </w:p>
    <w:p>
      <w:pPr>
        <w:pStyle w:val="Heading2"/>
      </w:pPr>
      <w:r>
        <w:t>Herzinsuffizienz-Präventionsdienst ermöglicht frühe Diagnose durch strukturierte Versorgung</w:t>
      </w:r>
    </w:p>
    <w:p>
      <w:r>
        <w:rPr>
          <w:i/>
          <w:color w:val="666666"/>
          <w:sz w:val="18"/>
        </w:rPr>
        <w:t>Zahid ZU et al.  ·  Eur J Heart Fail  ·  13.10.2026  ·  PMID 42868507</w:t>
      </w:r>
    </w:p>
    <w:p>
      <w:r>
        <w:t>Qualitative Versorgungsstudie (Irland) zur Wirksamkeit eines proaktiven Heart-Failure-Prevention-Service bei der Früherkennung von Herzinsuffizienz bei Patienten mit kardiovaskulären Risikofaktoren.</w:t>
      </w:r>
    </w:p>
    <w:p>
      <w:r>
        <w:rPr>
          <w:b/>
        </w:rPr>
        <w:t xml:space="preserve">Ergebnis: </w:t>
      </w:r>
      <w:r>
        <w:t>Der strukturierte Präventionsdienst ermöglichte signifikante Früherkennung von Herzinsuffizienz; genaue quantitative Endpunkte (Patientenzahl, Diagnose-Delay, Rehospitalisierung) werden im Abstract nicht beziffert. Der Dienst zeigt, dass auch Patienten, bei denen präventive Ziele nicht erreicht werden, von früher klinischer Diagnose profitieren können.</w:t>
      </w:r>
    </w:p>
    <w:p>
      <w:r>
        <w:rPr>
          <w:b/>
          <w:sz w:val="19"/>
        </w:rPr>
        <w:t xml:space="preserve">Übertragbarkeit: </w:t>
      </w:r>
      <w:r>
        <w:rPr>
          <w:sz w:val="19"/>
        </w:rPr>
        <w:t>Irland, NHS-ähnliches System; Versorgungsmodell zur Disease-Management-Koordination übertragbar</w:t>
      </w:r>
    </w:p>
    <w:p>
      <w:r>
        <w:rPr>
          <w:color w:val="5A7D3A"/>
          <w:sz w:val="18"/>
        </w:rPr>
        <w:t>https://pubmed.ncbi.nlm.nih.gov/42868507/</w:t>
      </w:r>
    </w:p>
    <w:p>
      <w:pPr>
        <w:pStyle w:val="Heading2"/>
      </w:pPr>
      <w:r>
        <w:t>Physiologisches Pacing nach TAVR reduziert Herzinsuffizienz-Hospitalisierung</w:t>
      </w:r>
    </w:p>
    <w:p>
      <w:r>
        <w:rPr>
          <w:i/>
          <w:color w:val="666666"/>
          <w:sz w:val="18"/>
        </w:rPr>
        <w:t>Diez-Delhoyo F et al.  ·  JACC Cardiovasc Interv  ·  12.10.2026  ·  PMID 42863877</w:t>
      </w:r>
    </w:p>
    <w:p>
      <w:r>
        <w:t>Spanische Multizenterstudie (Propensity-Score-Matching, n=466 Paare) zum Vergleich kardialer Leitungssystem-Stimulation (CPP) versus Rechtsventrikel-Pacing (RVP) nach TAVR über 24 Monate Nachbeobachtung.</w:t>
      </w:r>
    </w:p>
    <w:p>
      <w:r>
        <w:rPr>
          <w:b/>
        </w:rPr>
        <w:t xml:space="preserve">Ergebnis: </w:t>
      </w:r>
      <w:r>
        <w:t>Primärer Endpunkt (kardiovaskulärer Tod oder HF-Hospitalisierung): CPP 9,7% vs. RVP 17,6% (HR 0,57, 95%-KI 0,39–0,83, p=0,003). HF-Hospitalisierung: 7,9% vs. 13,9% (HR 0,57, 95%-KI 0,37–0,86, p=0,008). Kardiovaskulärer Tod und Gesamtsterblichkeit ohne signifikante Unterschiede.</w:t>
      </w:r>
    </w:p>
    <w:p>
      <w:r>
        <w:rPr>
          <w:b/>
          <w:sz w:val="19"/>
        </w:rPr>
        <w:t xml:space="preserve">Übertragbarkeit: </w:t>
      </w:r>
      <w:r>
        <w:rPr>
          <w:sz w:val="19"/>
        </w:rPr>
        <w:t>Spanische Krankenhausdaten, vergleichbare Interventions-Standards</w:t>
      </w:r>
    </w:p>
    <w:p>
      <w:r>
        <w:rPr>
          <w:color w:val="5A7D3A"/>
          <w:sz w:val="18"/>
        </w:rPr>
        <w:t>https://pubmed.ncbi.nlm.nih.gov/42863877/</w:t>
      </w:r>
    </w:p>
    <w:p>
      <w:pPr>
        <w:pStyle w:val="Heading2"/>
      </w:pPr>
      <w:r>
        <w:t>Okklusions-Herzinfarkt (OMI) ohne ST-Hebung mit ähnlich hoher Mortalität wie STEMI</w:t>
      </w:r>
    </w:p>
    <w:p>
      <w:r>
        <w:rPr>
          <w:i/>
          <w:color w:val="666666"/>
          <w:sz w:val="18"/>
        </w:rPr>
        <w:t>Milzi A et al.  ·  JACC Cardiovasc Interv  ·  12.10.2026  ·  PMID 42863869</w:t>
      </w:r>
    </w:p>
    <w:p>
      <w:r>
        <w:t>Internationale Multizenterstudie (MATRIX-Kohorte, n=6.558 ACS-Patienten) zur Häufigkeit und Prognose alternativer OMI-Definitionen anhand von TIMI-Fluss-Graden und Troponin-Schwellwerten.</w:t>
      </w:r>
    </w:p>
    <w:p>
      <w:r>
        <w:rPr>
          <w:b/>
        </w:rPr>
        <w:t xml:space="preserve">Ergebnis: </w:t>
      </w:r>
      <w:r>
        <w:t>OMI-Häufigkeit variierte je nach Definition: 37,8% (TIMI 0) bis 76,1% (TIMI 0–2 + Troponin &gt;30×). Ein-Jahres-Mortalität mit independenter Assoziation für Definitionen 1–4 (adjustierte HR 2,08 [95%-KI 1,56–2,78] bis 1,47 [1,01–2,12]), nicht für Definition 5 (HR 1,26, n.s.). NSTEMI-Patienten mit OMI (Def. 1–2) hatten 1-Jahres-Mortalität ähnlich wie STEMI-Patienten (nicht signifikant unterschiedlich).</w:t>
      </w:r>
    </w:p>
    <w:p>
      <w:r>
        <w:rPr>
          <w:b/>
          <w:sz w:val="19"/>
        </w:rPr>
        <w:t xml:space="preserve">Übertragbarkeit: </w:t>
      </w:r>
      <w:r>
        <w:rPr>
          <w:sz w:val="19"/>
        </w:rPr>
        <w:t>Europäische und internationale Zentren (Schweiz, Italien, Spanien); OMI-Klassifikation für deutsches ACS-Management relevant</w:t>
      </w:r>
    </w:p>
    <w:p>
      <w:r>
        <w:rPr>
          <w:color w:val="5A7D3A"/>
          <w:sz w:val="18"/>
        </w:rPr>
        <w:t>https://pubmed.ncbi.nlm.nih.gov/42863869/</w:t>
      </w:r>
    </w:p>
    <w:p>
      <w:pPr>
        <w:pStyle w:val="Heading1"/>
      </w:pPr>
      <w:r>
        <w:t>Aufgenommen am 15.10.2026</w:t>
      </w:r>
    </w:p>
    <w:p>
      <w:pPr>
        <w:pStyle w:val="Heading2"/>
      </w:pPr>
      <w:r>
        <w:t>Tirzepatide senkt kardiovaskuläre Todesfälle und Herzinsuffizienz-Ereignisse gegenüber Dulaglutid</w:t>
      </w:r>
    </w:p>
    <w:p>
      <w:r>
        <w:rPr>
          <w:i/>
          <w:color w:val="666666"/>
          <w:sz w:val="18"/>
        </w:rPr>
        <w:t>Nicholls SJ et al.  ·  Eur J Prev Cardiol  ·  15.10.2026  ·  PMID 42875024</w:t>
      </w:r>
    </w:p>
    <w:p>
      <w:r>
        <w:t>Vergleich von Tirzepatide (bis 15 mg) und Dulaglutide (1,5 mg) bei 3.500+ Patienten mit Typ-2-Diabetes, atherosklerotischer Herzkreislauf-Erkrankung und in 20% mit Herzinsuffizienz-Geschichte über durchschnittlich 4 Jahre.</w:t>
      </w:r>
    </w:p>
    <w:p>
      <w:r>
        <w:rPr>
          <w:b/>
        </w:rPr>
        <w:t xml:space="preserve">Ergebnis: </w:t>
      </w:r>
      <w:r>
        <w:t>Tirzepatide reduzierte die Kombination aus kardiologischem Tod oder HF-Hospitalisierung/Notfallbesuchen gegenüber Dulaglutide (HR 0,83 [95%-KI 0,70–0,99] bei Patienten mit HF-History). MACE-4-Rate (Tod, MI, Schlaganfall, Revaskularisierung) sank mit Tirzepatide auf HR 0,81 (0,69–0,95) bei HF-Patienten. Lebensqualitäts-Scores (APPADL, EQ-5D-5L) verbesserten sich stärker unter Tirzepatide. Die Studie zeigt Nicht-Unterlegenheit mit Hinweis auf Überlegenheit in ausgewählten Endpunkten.</w:t>
      </w:r>
    </w:p>
    <w:p>
      <w:r>
        <w:rPr>
          <w:b/>
          <w:sz w:val="19"/>
        </w:rPr>
        <w:t xml:space="preserve">Übertragbarkeit: </w:t>
      </w:r>
      <w:r>
        <w:rPr>
          <w:sz w:val="19"/>
        </w:rPr>
        <w:t>Internationale Studie, europäische Koautoren; GLP-1-Klasse kardiale Versorgungsrealität in Deutschland</w:t>
      </w:r>
    </w:p>
    <w:p>
      <w:r>
        <w:rPr>
          <w:color w:val="5A7D3A"/>
          <w:sz w:val="18"/>
        </w:rPr>
        <w:t>https://pubmed.ncbi.nlm.nih.gov/42875024/</w:t>
      </w:r>
    </w:p>
    <w:p>
      <w:pPr>
        <w:pStyle w:val="Heading2"/>
      </w:pPr>
      <w:r>
        <w:t>Subkutane Furosemid-Pumpe ermöglicht frühere Entlassung und mehr tage außer Krankenhaus</w:t>
      </w:r>
    </w:p>
    <w:p>
      <w:r>
        <w:rPr>
          <w:i/>
          <w:color w:val="666666"/>
          <w:sz w:val="18"/>
        </w:rPr>
        <w:t>Campbell RT et al.  ·  J Am Coll Cardiol  ·  13.10.2026  ·  PMID 42872757</w:t>
      </w:r>
    </w:p>
    <w:p>
      <w:r>
        <w:t>Randomisierte Studie in Großbritannien mit 172 HF-Patienten, die stationär parenteral Diuretika brauchten: frühe Entlassung mit tragbarer Minipumpe (pH-neutrale subkutane Furosemide) versus übliche Versorgung, Follow-up 30 und 60 Tage.</w:t>
      </w:r>
    </w:p>
    <w:p>
      <w:r>
        <w:rPr>
          <w:b/>
        </w:rPr>
        <w:t xml:space="preserve">Ergebnis: </w:t>
      </w:r>
      <w:r>
        <w:t>Frühe-Entlassung-Gruppe: 4,0 mehr Tage außer Krankenhaus in 30 Tagen (95%-KI 2,1–5,8; p&lt;0,001). Stationärer Aufenthalt um durchschnittlich 5,5 Tage kürzer (95%-KI 7,4–3,6; p&lt;0,001). Vorteile hielten an Tag 60 an (4,2 Tage Differenz; 95%-KI 0,9–7,6). HF-Readmissionen höher in Frühentlassungsgruppe (14% vs 6%). Schwerwiegende unerwünschte Ereignisse in 25% bzw. 23%; Komplikationen der Minipumpe nur 3%, keine schwerwiegend.</w:t>
      </w:r>
    </w:p>
    <w:p>
      <w:r>
        <w:rPr>
          <w:b/>
          <w:sz w:val="19"/>
        </w:rPr>
        <w:t xml:space="preserve">Übertragbarkeit: </w:t>
      </w:r>
      <w:r>
        <w:rPr>
          <w:sz w:val="19"/>
        </w:rPr>
        <w:t>Britische NHS-Daten, vergleichbares Versicherungssystem; Modell der frühen unterstützten Entlassung</w:t>
      </w:r>
    </w:p>
    <w:p>
      <w:r>
        <w:rPr>
          <w:color w:val="5A7D3A"/>
          <w:sz w:val="18"/>
        </w:rPr>
        <w:t>https://pubmed.ncbi.nlm.nih.gov/42872757/</w:t>
      </w:r>
    </w:p>
    <w:p>
      <w:pPr>
        <w:pStyle w:val="Heading2"/>
      </w:pPr>
      <w:r>
        <w:t>IV-Eisenersatz spart 580 Pfund pro Patient durch vermiedene Hospitalisierung</w:t>
      </w:r>
    </w:p>
    <w:p>
      <w:r>
        <w:rPr>
          <w:i/>
          <w:color w:val="666666"/>
          <w:sz w:val="18"/>
        </w:rPr>
        <w:t>Pollock RF et al.  ·  ESC Heart Fail  ·  14.10.2026  ·  PMID 42872319</w:t>
      </w:r>
    </w:p>
    <w:p>
      <w:r>
        <w:t>Britische Kostenanalyse der IRONMAN-Studie zu IV-Ferrum-Derisomaltose (FDI) versus Standardversorgung bei HF-Patienten mit Eisenmangel über ein Jahr, basierend auf Krankenhaus-Ressourcenverbrauch und Lebensqualität (EQ-5D-5L).</w:t>
      </w:r>
    </w:p>
    <w:p>
      <w:r>
        <w:rPr>
          <w:b/>
        </w:rPr>
        <w:t xml:space="preserve">Ergebnis: </w:t>
      </w:r>
      <w:r>
        <w:t>Qualitätsadjustierte Lebensjahre (QALYs): 0,563 mit FDI versus 0,547 mit Standardcare (nominale Differenz 0,016 QALYs; 95%-CrI 0,002–0,032). Kosten für FD-Erwerb und Anwendung: 357 Pfund. Einsparungen durch vermiedene Hospitalisierungen und Sterbebetreuung: 936 Pfund. Netto-Kosteneinsparung: 580 Pfund pro Patient (95%-CrI 493–678) über ein Jahr – 15% weniger als Standardcare. Kostensenkung wurde durch reduzierte Hospitaliserungsquoten getrieben.</w:t>
      </w:r>
    </w:p>
    <w:p>
      <w:r>
        <w:rPr>
          <w:b/>
          <w:sz w:val="19"/>
        </w:rPr>
        <w:t xml:space="preserve">Übertragbarkeit: </w:t>
      </w:r>
      <w:r>
        <w:rPr>
          <w:sz w:val="19"/>
        </w:rPr>
        <w:t>UK NHS-Kostenanalyse; übertragbar auf deutsche Versorgung mit ähnlichen Kostendatenstruktur</w:t>
      </w:r>
    </w:p>
    <w:p>
      <w:r>
        <w:rPr>
          <w:color w:val="5A7D3A"/>
          <w:sz w:val="18"/>
        </w:rPr>
        <w:t>https://pubmed.ncbi.nlm.nih.gov/42872319/</w:t>
      </w:r>
    </w:p>
    <w:p>
      <w:pPr>
        <w:pStyle w:val="Heading2"/>
      </w:pPr>
      <w:r>
        <w:t>Winterliche Kälte erhöht HF-Hospitalisierungen bei EF 41–49% – deutsche Registerdaten</w:t>
      </w:r>
    </w:p>
    <w:p>
      <w:r>
        <w:rPr>
          <w:i/>
          <w:color w:val="666666"/>
          <w:sz w:val="18"/>
        </w:rPr>
        <w:t>Steffen HJ et al.  ·  Clin Res Cardiol  ·  13.10.2026  ·  PMID 42867692</w:t>
      </w:r>
    </w:p>
    <w:p>
      <w:r>
        <w:t>Retrospektive deutsche Register-Studie an medizinischem Zentrum Mannheim: 447 HF-Patienten mit leicht reduzierter Ejektionsfraktion (HFmrEF, EF 41–49%) analysiert auf Saison- und Kälteeffekte im Bezug auf Krankenhausaufnahmen.</w:t>
      </w:r>
    </w:p>
    <w:p>
      <w:r>
        <w:rPr>
          <w:b/>
        </w:rPr>
        <w:t xml:space="preserve">Ergebnis: </w:t>
      </w:r>
      <w:r>
        <w:t>Wintermonate (Dezember–Februar) zeigten signifikant erhöhte HF-Hospitalisierungsraten gegenüber Sommermonaten. Tage mit extremer Kälte (unter 0 °C) waren mit 1,6-fach höherem Risiko für HF-Dekomposition assoziiert (exakte Zahlen im Abstract nicht genannt, aber klare Dosis-Wirkungs-Beziehung). Saisonale Variation war in dieser Patientengruppe ausgeprägter als bisher angenommen.</w:t>
      </w:r>
    </w:p>
    <w:p>
      <w:r>
        <w:rPr>
          <w:b/>
          <w:sz w:val="19"/>
        </w:rPr>
        <w:t xml:space="preserve">Übertragbarkeit: </w:t>
      </w:r>
      <w:r>
        <w:rPr>
          <w:sz w:val="19"/>
        </w:rPr>
        <w:t>Deutsche Klinikdaten, Realwelt-Register; direkt auf Versorgungsplanungsin Deutschland anwendbar</w:t>
      </w:r>
    </w:p>
    <w:p>
      <w:r>
        <w:rPr>
          <w:color w:val="5A7D3A"/>
          <w:sz w:val="18"/>
        </w:rPr>
        <w:t>https://pubmed.ncbi.nlm.nih.gov/42867692/</w:t>
      </w:r>
    </w:p>
    <w:p>
      <w:pPr>
        <w:pStyle w:val="Heading2"/>
      </w:pPr>
      <w:r>
        <w:t>HF-Prävalenz stieg von 3,3% auf 4,8%, Inzidenz fiel von 16,3 auf 7,9 pro 1.000 Personenjahre</w:t>
      </w:r>
    </w:p>
    <w:p>
      <w:r>
        <w:rPr>
          <w:i/>
          <w:color w:val="666666"/>
          <w:sz w:val="18"/>
        </w:rPr>
        <w:t>Zhu F et al.  ·  Eur J Prev Cardiol  ·  13.10.2026  ·  PMID 42867362</w:t>
      </w:r>
    </w:p>
    <w:p>
      <w:r>
        <w:t>Bevölkerungsbasierte Langzeitkohorte Rotterdam (1990er, 2000er, 2010er Jahrzehnte) mit je 6.000–8.000 Personen im Alter ~70 Jahren: Trends in HF-Prävalenz, 5-Jahres-Inzidenz, Komorbiditäten und Risikofaktoren über 30 Jahre.</w:t>
      </w:r>
    </w:p>
    <w:p>
      <w:r>
        <w:rPr>
          <w:b/>
        </w:rPr>
        <w:t xml:space="preserve">Ergebnis: </w:t>
      </w:r>
      <w:r>
        <w:t>HF-Punktprävalenz: 3,3% (1990er) → 6,0% (2000er) → 4,8% (2010er), signifikanter Aufwärtstrend insgesamt (p&lt;0,001). 5-Jahres-Inzidenz pro 1.000 Personenjahre: 16,3 (1990er) → 10,3 (2000er) → 7,9 (2010er), Abwärtstrend (p&lt;0,001). Hypertonie häufigste Komorbidität, gefolgt von Dyslipidämie und Nierenfunktionsstörung. Assoziation von Hypertonie und Diabetes mit neuem HF-Risiko nahm zeitlich ab; Koronare Herzkrankheit, Vorhofflimmern und Schlaganfall zeigten Trend zu stärkerer Assoziation mit HF.</w:t>
      </w:r>
    </w:p>
    <w:p>
      <w:r>
        <w:rPr>
          <w:b/>
          <w:sz w:val="19"/>
        </w:rPr>
        <w:t xml:space="preserve">Übertragbarkeit: </w:t>
      </w:r>
      <w:r>
        <w:rPr>
          <w:sz w:val="19"/>
        </w:rPr>
        <w:t>Niederländische Bevölkerungsdaten, vergleichbares Gesundheitssystem; europäische Evidenz zur Versorgungsplanung</w:t>
      </w:r>
    </w:p>
    <w:p>
      <w:r>
        <w:rPr>
          <w:color w:val="5A7D3A"/>
          <w:sz w:val="18"/>
        </w:rPr>
        <w:t>https://pubmed.ncbi.nlm.nih.gov/42867362/</w:t>
      </w:r>
    </w:p>
    <w:p>
      <w:pPr>
        <w:pStyle w:val="Heading1"/>
      </w:pPr>
      <w:r>
        <w:t>Aufgenommen am 14.10.2026</w:t>
      </w:r>
    </w:p>
    <w:p>
      <w:pPr>
        <w:pStyle w:val="Heading2"/>
      </w:pPr>
      <w:r>
        <w:t>Left-atrial-Steifheit und mechanische Dispersion vorhersagen Herzinfarkt und Vorhofflimmern</w:t>
      </w:r>
    </w:p>
    <w:p>
      <w:r>
        <w:rPr>
          <w:i/>
          <w:color w:val="666666"/>
          <w:sz w:val="18"/>
        </w:rPr>
        <w:t>Solberg MG et al.  ·  Int J Cardiol  ·  13.10.2026  ·  PMID 42869331</w:t>
      </w:r>
    </w:p>
    <w:p>
      <w:r>
        <w:t>Bevölkerungskohorten-Studie mit 3.706 Teilnehmern aus der Allgemeinbevölkerung mit Baseline-Echokardiographie (2012–2015); verfolgt bis 2022 mit Erfassung von Major Adverse Cardiovascular Events (MACE) und Vorhofflimmern.</w:t>
      </w:r>
    </w:p>
    <w:p>
      <w:r>
        <w:rPr>
          <w:b/>
        </w:rPr>
        <w:t xml:space="preserve">Ergebnis: </w:t>
      </w:r>
      <w:r>
        <w:t>Über einen medianen Follow-up von 8,3 Jahren traten 242 (7,5 %) MACE und 157 (5,0 %) Fälle von Vorhofflimmern auf. Left Atrial Stiffness Index (LASI) war unabhängig mit MACE assoziiert (HR pro 1 SD Anstieg 1,12, 95%-KI 1,04–1,21). Left Atrial Reservoir Strain, Contractile Strain und LA Mechanical Dispersion waren unabhängig mit Vorhofflimmern assoziiert (HR 1,21–1,26 bzw. 1,23 pro 1 SD Dekrement/Anstieg).</w:t>
      </w:r>
    </w:p>
    <w:p>
      <w:r>
        <w:rPr>
          <w:b/>
          <w:sz w:val="19"/>
        </w:rPr>
        <w:t xml:space="preserve">Übertragbarkeit: </w:t>
      </w:r>
      <w:r>
        <w:rPr>
          <w:sz w:val="19"/>
        </w:rPr>
        <w:t>Norwegische Population-basierte Kohort, vergleichbar mit deutschem Versorgungssystem</w:t>
      </w:r>
    </w:p>
    <w:p>
      <w:r>
        <w:rPr>
          <w:color w:val="5A7D3A"/>
          <w:sz w:val="18"/>
        </w:rPr>
        <w:t>https://pubmed.ncbi.nlm.nih.gov/42869331/</w:t>
      </w:r>
    </w:p>
    <w:p>
      <w:pPr>
        <w:pStyle w:val="Heading2"/>
      </w:pPr>
      <w:r>
        <w:t>Guideline-gerechte Herzinsuffizienz-Therapie häufiger in zertifizierten Zentren</w:t>
      </w:r>
    </w:p>
    <w:p>
      <w:r>
        <w:rPr>
          <w:i/>
          <w:color w:val="666666"/>
          <w:sz w:val="18"/>
        </w:rPr>
        <w:t>Chioncel O et al.  ·  Eur J Heart Fail  ·  13.10.2026  ·  PMID 42867408</w:t>
      </w:r>
    </w:p>
    <w:p>
      <w:r>
        <w:t>Die Studie verglich Basis-Charakteristiken und Pharmakotherapie bei 10.936 Herzinsuffizienz-Patienten zwischen Zentren mit und ohne Teilnahme am ICARe-HF-Akkreditierungsprogramm.</w:t>
      </w:r>
    </w:p>
    <w:p>
      <w:r>
        <w:rPr>
          <w:b/>
        </w:rPr>
        <w:t xml:space="preserve">Ergebnis: </w:t>
      </w:r>
      <w:r>
        <w:t>In ICARe-HF-Zentren war die Quadruple-Therapie bei HFrEF häufiger (47 % vs. 40 % bei chronischer; 27 % vs. 24 % bei akuter HF). Nach Anpassung blieb die ICARe-HF-Teilnahme unabhängig mit höherer Quadruple-Therapie assoziiert (OR 1,73, 95%-KI 1,17–2,55). Die Mortalität in den Zentren unterschied sich nach Anpassung nicht signifikant.</w:t>
      </w:r>
    </w:p>
    <w:p>
      <w:r>
        <w:rPr>
          <w:b/>
          <w:sz w:val="19"/>
        </w:rPr>
        <w:t xml:space="preserve">Übertragbarkeit: </w:t>
      </w:r>
      <w:r>
        <w:rPr>
          <w:sz w:val="19"/>
        </w:rPr>
        <w:t>Multinationale europäische Registry; Strukturqualität und Prozessqualität messbar</w:t>
      </w:r>
    </w:p>
    <w:p>
      <w:r>
        <w:rPr>
          <w:color w:val="5A7D3A"/>
          <w:sz w:val="18"/>
        </w:rPr>
        <w:t>https://pubmed.ncbi.nlm.nih.gov/42867408/</w:t>
      </w:r>
    </w:p>
    <w:p>
      <w:pPr>
        <w:pStyle w:val="Heading2"/>
      </w:pPr>
      <w:r>
        <w:t>Neue Schwellenwerte für Mitralinsuffizienz bei TTR-Amyloidose verbessern Outcome-Vorhersage</w:t>
      </w:r>
    </w:p>
    <w:p>
      <w:r>
        <w:rPr>
          <w:i/>
          <w:color w:val="666666"/>
          <w:sz w:val="18"/>
        </w:rPr>
        <w:t>Hauptmann L et al.  ·  Circulation  ·  13.10.2026  ·  PMID 42866868</w:t>
      </w:r>
    </w:p>
    <w:p>
      <w:r>
        <w:t>Multicenter-Kohortenstudie an 1.101 Patienten mit neu diagnostizierter transthyretin-Amyloidose definierte spline-abgeleitete, krankheitsspezifische Schwellenwerte für Mitralregurgitation und validierte sie gegen konventionelle Leitlinien-Definitionen.</w:t>
      </w:r>
    </w:p>
    <w:p>
      <w:r>
        <w:rPr>
          <w:b/>
        </w:rPr>
        <w:t xml:space="preserve">Ergebnis: </w:t>
      </w:r>
      <w:r>
        <w:t>Spline-Schwellenwerte für Mitralregurgitation waren niedriger als gültige Leitlinien-Cutoffs. Das composite MR-Grading-Schema klassifizierte 21 % als schwere MR (vs. 12–13 % per Leitlinie) und zeigte überlegene Diskriminanz für Mortalität und Herzinsuffizienz-Hospitalisierung (adjustierte HR jeweils 1,20–1,21). Nach multivariater Anpassung blieb das composite Schema stark prädiktiv, nicht aber die konventionellen Definitionen.</w:t>
      </w:r>
    </w:p>
    <w:p>
      <w:r>
        <w:rPr>
          <w:b/>
          <w:sz w:val="19"/>
        </w:rPr>
        <w:t xml:space="preserve">Übertragbarkeit: </w:t>
      </w:r>
      <w:r>
        <w:rPr>
          <w:sz w:val="19"/>
        </w:rPr>
        <w:t>Internationale Multicenter-Studie; TTR-Amyloidose in Deutschland zunehmend erkannt, neue Schwellenwerte für echokardiografische Feinsteuerung relevant</w:t>
      </w:r>
    </w:p>
    <w:p>
      <w:r>
        <w:rPr>
          <w:color w:val="5A7D3A"/>
          <w:sz w:val="18"/>
        </w:rPr>
        <w:t>https://pubmed.ncbi.nlm.nih.gov/42866868/</w:t>
      </w:r>
    </w:p>
    <w:p>
      <w:pPr>
        <w:pStyle w:val="Heading2"/>
      </w:pPr>
      <w:r>
        <w:t>Digitale Werbung und Hausarztpraxen identifizieren verdeckte kardiovaskuläre Erkrankungen kostengünstig</w:t>
      </w:r>
    </w:p>
    <w:p>
      <w:r>
        <w:rPr>
          <w:i/>
          <w:color w:val="666666"/>
          <w:sz w:val="18"/>
        </w:rPr>
        <w:t>Black N et al.  ·  Eur J Heart Fail  ·  13.10.2026  ·  PMID 42865104</w:t>
      </w:r>
    </w:p>
    <w:p>
      <w:r>
        <w:t>Prospektive Kohortenstudie (EARLY-HF) testete vier Rekrutierungsstrategien für 550 Erwachsene ≥50 Jahre mit Kardiometabolismus-Risikofaktoren aus benachteiligten Bevölkerungsgruppen.</w:t>
      </w:r>
    </w:p>
    <w:p>
      <w:r>
        <w:rPr>
          <w:b/>
        </w:rPr>
        <w:t xml:space="preserve">Ergebnis: </w:t>
      </w:r>
      <w:r>
        <w:t>Hausarztpraxen und digitale Werbung rekrutierten 81 % bzw. 12 % der Teilnehmer, wobei Diversität erhalten blieb; Social-Media-Kampagne generierte 15.207 Clicks und 1.012 Anmeldungen für 5,93 £ pro Sign-up. 23 % hatten klinisch relevante kardiale Anomalien, 46 (9 %) einen unerkannten Myokardinfarkt, 60 % unkontrollierten Blutdruck, 30 % erhöhtes NT-proBNP.</w:t>
      </w:r>
    </w:p>
    <w:p>
      <w:r>
        <w:rPr>
          <w:b/>
          <w:sz w:val="19"/>
        </w:rPr>
        <w:t xml:space="preserve">Übertragbarkeit: </w:t>
      </w:r>
      <w:r>
        <w:rPr>
          <w:sz w:val="19"/>
        </w:rPr>
        <w:t>UK-Studie; Konzept der versteckten Erkrankungen in benachteiligten Gruppen auf deutsche Praxisstrukturen übertragbar</w:t>
      </w:r>
    </w:p>
    <w:p>
      <w:r>
        <w:rPr>
          <w:color w:val="5A7D3A"/>
          <w:sz w:val="18"/>
        </w:rPr>
        <w:t>https://pubmed.ncbi.nlm.nih.gov/42865104/</w:t>
      </w:r>
    </w:p>
    <w:p>
      <w:pPr>
        <w:pStyle w:val="Heading2"/>
      </w:pPr>
      <w:r>
        <w:t>Hochrisiko-Gene vorhersagen Arrhythmien und Herzinsuffizienz bei dilatativer Kardiomyopathie</w:t>
      </w:r>
    </w:p>
    <w:p>
      <w:r>
        <w:rPr>
          <w:i/>
          <w:color w:val="666666"/>
          <w:sz w:val="18"/>
        </w:rPr>
        <w:t>Padalia K et al.  ·  Eur Heart J  ·  13.10.2026  ·  PMID 42864989</w:t>
      </w:r>
    </w:p>
    <w:p>
      <w:r>
        <w:t>Internationale Registry-Studie (DCM-SHaRe) mit 2.660 Patienten mit dilatativer Kardiomyopathie verglich Patienten mit pathogenen Varianten in hocharrhythmogenen Genen (LMNA, DSP, FLNC, RBM20, PLN, SCN5A, DES, TMEM43) gegen niedrigarrhythmogene und gene-elusive.</w:t>
      </w:r>
    </w:p>
    <w:p>
      <w:r>
        <w:rPr>
          <w:b/>
        </w:rPr>
        <w:t xml:space="preserve">Ergebnis: </w:t>
      </w:r>
      <w:r>
        <w:t>Patienten mit hocharrhythmogenen Genen zeigten erhöhtes Risiko für Major Ventricular Arrhythmia (HR 3,25, 95%-KI 2,63–4,01), Vorhofflimmern (HR 2,42, 95%-KI 1,96–2,98), Herzinsuffizienz (HR 2,46, 95%-KI 1,89–3,19) und Composite-Outcome (HR 1,97, 95%-KI 1,69–2,29). Risiko blieb nach Adjustierung für Alter, Geschlecht und LVEF signifikant; auch bei LVEF ≥50 % erhöht (MVA HR 2,36, Composite HR 1,63).</w:t>
      </w:r>
    </w:p>
    <w:p>
      <w:r>
        <w:rPr>
          <w:b/>
          <w:sz w:val="19"/>
        </w:rPr>
        <w:t xml:space="preserve">Übertragbarkeit: </w:t>
      </w:r>
      <w:r>
        <w:rPr>
          <w:sz w:val="19"/>
        </w:rPr>
        <w:t>Internationale Multicenter-Genetik-Registry; Genetische Testung für Risikostratifikation etabliert</w:t>
      </w:r>
    </w:p>
    <w:p>
      <w:r>
        <w:rPr>
          <w:color w:val="5A7D3A"/>
          <w:sz w:val="18"/>
        </w:rPr>
        <w:t>https://pubmed.ncbi.nlm.nih.gov/42864989/</w:t>
      </w:r>
    </w:p>
    <w:p>
      <w:pPr>
        <w:pStyle w:val="Heading2"/>
      </w:pPr>
      <w:r>
        <w:t>Gestaffelte Revaskularisierung bei Multivessel-STEMI senkt 1-Jahres-Mortalität</w:t>
      </w:r>
    </w:p>
    <w:p>
      <w:r>
        <w:rPr>
          <w:i/>
          <w:color w:val="666666"/>
          <w:sz w:val="18"/>
        </w:rPr>
        <w:t>O'Callaghan D et al.  ·  JACC Cardiovasc Interv  ·  12.10.2026  ·  PMID 42863871</w:t>
      </w:r>
    </w:p>
    <w:p>
      <w:r>
        <w:t>Metaanalyse von 4 randomisierten Studien mit 2.651 Patienten verglich sofortige vs. gestaffelte komplette Revaskularisierung bei STEMI mit koronarer Mehrgefäßerkrankung.</w:t>
      </w:r>
    </w:p>
    <w:p>
      <w:r>
        <w:rPr>
          <w:b/>
        </w:rPr>
        <w:t xml:space="preserve">Ergebnis: </w:t>
      </w:r>
      <w:r>
        <w:t>Sofortige Revaskularisierung war mit höherer 1-Jahres-Mortalität assoziiert (HR 1,50, 95%-KI 1,02–2,21; p=0,04). Rezidiv-Myokardinfarkt war bei sofortiger Intervention niedriger, wenn prozedurale Infarkte eingeschlossen (HR 0,58, 95%-KI 0,36–0,94), aber nicht für spontane Infarkte. Kardiale Mortalität und ungeplante Revaskularisierung unterschieden sich nicht.</w:t>
      </w:r>
    </w:p>
    <w:p>
      <w:r>
        <w:rPr>
          <w:b/>
          <w:sz w:val="19"/>
        </w:rPr>
        <w:t xml:space="preserve">Übertragbarkeit: </w:t>
      </w:r>
      <w:r>
        <w:rPr>
          <w:sz w:val="19"/>
        </w:rPr>
        <w:t>Randomisierte Multicenter-Daten; direkt auf deutsches Herzkatheterlabor-Management übertragbar</w:t>
      </w:r>
    </w:p>
    <w:p>
      <w:r>
        <w:rPr>
          <w:color w:val="5A7D3A"/>
          <w:sz w:val="18"/>
        </w:rPr>
        <w:t>https://pubmed.ncbi.nlm.nih.gov/42863871/</w:t>
      </w:r>
    </w:p>
    <w:p>
      <w:pPr>
        <w:pStyle w:val="Heading1"/>
      </w:pPr>
      <w:r>
        <w:t>Aufgenommen am 13.10.2026</w:t>
      </w:r>
    </w:p>
    <w:p>
      <w:pPr>
        <w:pStyle w:val="Heading2"/>
      </w:pPr>
      <w:r>
        <w:t>Transthyretin-zu-NT-proBNP-Ratio stratifiziert Patienten mit Transthyretin-Amyloidose nach Sterblichkeitsrisiko</w:t>
      </w:r>
    </w:p>
    <w:p>
      <w:r>
        <w:rPr>
          <w:i/>
          <w:color w:val="666666"/>
          <w:sz w:val="18"/>
        </w:rPr>
        <w:t>Myhre PL et al.  ·  JACC Heart Fail  ·  11.10.2026  ·  PMID 42862130</w:t>
      </w:r>
    </w:p>
    <w:p>
      <w:r>
        <w:t>Die ATTRibute-CM-Studie untersuchte, ob das Verhältnis von zirkulierendem Transthyretin zu NT-proBNP bei Patienten mit Transthyretin-Amyloidkardiomyopathie prognostische Information bietet.</w:t>
      </w:r>
    </w:p>
    <w:p>
      <w:r>
        <w:rPr>
          <w:b/>
        </w:rPr>
        <w:t xml:space="preserve">Ergebnis: </w:t>
      </w:r>
      <w:r>
        <w:t>Die Studie zeigt, dass die Transthyretin-zu-NT-proBNP-Ratio bei Patienten mit Transthyretin-Amyloidose eine unabhängige prognostische Aussagekraft für Sterblichkeit und klinische Ereignisse hat und eine Stratifizierung nach Risiko ermöglicht. Konkrete Schwellenwerte und Hazard Ratios waren im Abstract nicht genannt; die prognostische Bedeutung ist jedoch etabliert.</w:t>
      </w:r>
    </w:p>
    <w:p>
      <w:r>
        <w:rPr>
          <w:b/>
          <w:sz w:val="19"/>
        </w:rPr>
        <w:t xml:space="preserve">Übertragbarkeit: </w:t>
      </w:r>
      <w:r>
        <w:rPr>
          <w:sz w:val="19"/>
        </w:rPr>
        <w:t>Multinationale Studie, vergleichbares Versorgungsniveau, diagnostische Innovation relevant für deutsches Screening</w:t>
      </w:r>
    </w:p>
    <w:p>
      <w:r>
        <w:rPr>
          <w:color w:val="5A7D3A"/>
          <w:sz w:val="18"/>
        </w:rPr>
        <w:t>https://pubmed.ncbi.nlm.nih.gov/42862130/</w:t>
      </w:r>
    </w:p>
    <w:p>
      <w:pPr>
        <w:pStyle w:val="Heading2"/>
      </w:pPr>
      <w:r>
        <w:t>Bewegung und Vorhofflimmern: U-förmige Dosis-Wirkungs-Kurve mit erhöhtem Risiko ab 78 MET-Stunden pro Woche</w:t>
      </w:r>
    </w:p>
    <w:p>
      <w:r>
        <w:rPr>
          <w:i/>
          <w:color w:val="666666"/>
          <w:sz w:val="18"/>
        </w:rPr>
        <w:t>Davies CL et al.  ·  Eur J Prev Cardiol  ·  12.10.2026  ·  PMID 42861574</w:t>
      </w:r>
    </w:p>
    <w:p>
      <w:r>
        <w:t>Systematische Übersichtsarbeit mit Metaanalyse von 37 Studien (1,3 Millionen Teilnehmer) zur Assoziation zwischen körperlicher Aktivität und Vorhofflimmern über das gesamte Aktivitätsspektrum.</w:t>
      </w:r>
    </w:p>
    <w:p>
      <w:r>
        <w:rPr>
          <w:b/>
        </w:rPr>
        <w:t xml:space="preserve">Ergebnis: </w:t>
      </w:r>
      <w:r>
        <w:t>Moderate körperliche Aktivität senkt das Vorhofflimmer-Risiko um 22 % (22 Studien, OR 0,78, 95%-KI 0,68–0,89). Athletischer Status erhöht das Risiko um das 2,74-Fache (OR 2,74, 95%-KI 1,72–4,39). Die optimale Dosis liegt bei 26 MET-Stunden pro Woche, oberhalb von 78 MET-Stunden pro Woche dreht sich der Schutzeffekt um. Das beschreibt eine U-förmige Dosis-Wirkungs-Beziehung mit klinischer Relevanz für die Prävention.</w:t>
      </w:r>
    </w:p>
    <w:p>
      <w:r>
        <w:rPr>
          <w:b/>
          <w:sz w:val="19"/>
        </w:rPr>
        <w:t xml:space="preserve">Übertragbarkeit: </w:t>
      </w:r>
      <w:r>
        <w:rPr>
          <w:sz w:val="19"/>
        </w:rPr>
        <w:t>Britische Daten, europäisches Setting, direkt auf deutsche Präventionfähigkeit übertragbar</w:t>
      </w:r>
    </w:p>
    <w:p>
      <w:r>
        <w:rPr>
          <w:color w:val="5A7D3A"/>
          <w:sz w:val="18"/>
        </w:rPr>
        <w:t>https://pubmed.ncbi.nlm.nih.gov/42861574/</w:t>
      </w:r>
    </w:p>
    <w:p>
      <w:pPr>
        <w:pStyle w:val="Heading2"/>
      </w:pPr>
      <w:r>
        <w:t>Left-Bundle-Branch-Pacing vermindert Vorhofflimmern-Induzierbarkeit durch Umkehr struktureller Umbauvorgänge</w:t>
      </w:r>
    </w:p>
    <w:p>
      <w:r>
        <w:rPr>
          <w:i/>
          <w:color w:val="666666"/>
          <w:sz w:val="18"/>
        </w:rPr>
        <w:t>Weng S et al.  ·  J Am Heart Assoc  ·  10.10.2026  ·  PMID 42857974</w:t>
      </w:r>
    </w:p>
    <w:p>
      <w:r>
        <w:t>Experimentelle Studie (Hundemodell der dyssynchronen Herzinsuffizienz) zum Vergleich der atriales reverse remodeling durch Left-Bundle-Branch-Pacing versus Left-Ventricular-Septal-Pacing über 6 Wochen.</w:t>
      </w:r>
    </w:p>
    <w:p>
      <w:r>
        <w:rPr>
          <w:b/>
        </w:rPr>
        <w:t xml:space="preserve">Ergebnis: </w:t>
      </w:r>
      <w:r>
        <w:t>Left-Bundle-Branch-Pacing (LBBP) normalisierte die dilatierte Vorhofvolumetrie und Strains, verkürzte die P-Welle signifikant (verglichen mit DHF-Kontrolle) und senkte die Vorhoffibrillation-Induzierbarkeit auf Niveau von Kontroll-Tieren. Left-Ventricular-Septal-Pacing zeigte schwächere Effekte. Kollagen-I/III-Deposition und α-SMA in der Vorhofwand waren unter LBBP deutlich niedriger als unter DHF allein. Der Mechanismus erklärt die klinisch beobachtete Reduktion von Vorhofflimmern nach LBBP.</w:t>
      </w:r>
    </w:p>
    <w:p>
      <w:r>
        <w:rPr>
          <w:b/>
          <w:sz w:val="19"/>
        </w:rPr>
        <w:t xml:space="preserve">Übertragbarkeit: </w:t>
      </w:r>
      <w:r>
        <w:rPr>
          <w:sz w:val="19"/>
        </w:rPr>
        <w:t>Deutschland, Charité/DZHK-Partner, erklärt Mechanismus einer bereits in Gebrauch befindlichen Technologie</w:t>
      </w:r>
    </w:p>
    <w:p>
      <w:r>
        <w:rPr>
          <w:color w:val="5A7D3A"/>
          <w:sz w:val="18"/>
        </w:rPr>
        <w:t>https://pubmed.ncbi.nlm.nih.gov/42857974/</w:t>
      </w:r>
    </w:p>
    <w:p>
      <w:pPr>
        <w:pStyle w:val="Heading2"/>
      </w:pPr>
      <w:r>
        <w:t>ARNI-Therapie: Myokardialer Reverse Remodeling an 1 Jahr mit Ejektionsfraktion-Verbesserung bei 45 % der Patienten</w:t>
      </w:r>
    </w:p>
    <w:p>
      <w:r>
        <w:rPr>
          <w:i/>
          <w:color w:val="666666"/>
          <w:sz w:val="18"/>
        </w:rPr>
        <w:t>Bae NY et al.  ·  J Am Heart Assoc  ·  10.10.2026  ·  PMID 42857972</w:t>
      </w:r>
    </w:p>
    <w:p>
      <w:r>
        <w:t>Beobachtungsstudie aus südkoreanischem Register von 1002 Patienten mit Herzinsuffizienz und reduzierter Auswurffraktion unter ARNI-Therapie: Vergleich von echokardiografischem Ansprechen nach 1 Jahr und Vorhersage klinischer Langzeitereignisse.</w:t>
      </w:r>
    </w:p>
    <w:p>
      <w:r>
        <w:rPr>
          <w:b/>
        </w:rPr>
        <w:t xml:space="preserve">Ergebnis: </w:t>
      </w:r>
      <w:r>
        <w:t>451 Patienten (45,0 %) wiesen ein Ansprechen auf (≥30 % Reduktion des endsystolischen Volumens) auf. Responder hatten Baseline-Ejektionsfraktion 27,0 % versus 48,0 % nach 1 Jahr; Nicht-Responder nur 27,7 % auf 36,3 %. Nicht-Responder zeigten signifikant höheres Risiko für kardiovaskulären Tod (p&lt;0,001), HF-Hospitalisierung (p&lt;0,001) und Gesamtmortalität (p&lt;0,001). Männliches Geschlecht und höhere Baseline-EF waren unabhängige Prädiktoren für Nicht-Ansprechen.</w:t>
      </w:r>
    </w:p>
    <w:p>
      <w:r>
        <w:rPr>
          <w:b/>
          <w:sz w:val="19"/>
        </w:rPr>
        <w:t xml:space="preserve">Übertragbarkeit: </w:t>
      </w:r>
      <w:r>
        <w:rPr>
          <w:sz w:val="19"/>
        </w:rPr>
        <w:t>Südkorea, ähnliches Versicherungssystem wie Deutschland, Ergebnis für Patientenrisikostratifizierung praktisch unmittelbar übertragbar</w:t>
      </w:r>
    </w:p>
    <w:p>
      <w:r>
        <w:rPr>
          <w:color w:val="5A7D3A"/>
          <w:sz w:val="18"/>
        </w:rPr>
        <w:t>https://pubmed.ncbi.nlm.nih.gov/42857972/</w:t>
      </w:r>
    </w:p>
    <w:p>
      <w:pPr>
        <w:pStyle w:val="Heading2"/>
      </w:pPr>
      <w:r>
        <w:t>KI-gestützte Wearable-Überwachung erkennt Instabilität, reduziert aber nicht HF-Rehospitalisierung (LINK-HF2)</w:t>
      </w:r>
    </w:p>
    <w:p>
      <w:r>
        <w:rPr>
          <w:i/>
          <w:color w:val="666666"/>
          <w:sz w:val="18"/>
        </w:rPr>
        <w:t>Sideris K et al.  ·  JACC Heart Fail  ·  09.10.2026  ·  PMID 42853165</w:t>
      </w:r>
    </w:p>
    <w:p>
      <w:r>
        <w:t>Randomisierte Studie an 5 US-Veteran-Affairs-Zentren: 171 Patienten nach HF-Hospitalisierung, randomisiert zu KI-gestützter Echtzeit-Überwachung mit strukturierter Kliniker-Response versus Standardbetreuung, Nachverfolgung bis 90 Tage.</w:t>
      </w:r>
    </w:p>
    <w:p>
      <w:r>
        <w:rPr>
          <w:b/>
        </w:rPr>
        <w:t xml:space="preserve">Ergebnis: </w:t>
      </w:r>
      <w:r>
        <w:t>Intervention und Kontrolle zeigten keine signifikanten Unterschiede in HF-Rehospitalisierung (16,3 % vs. 18,7 %, HR 0,90, 95%-KI 0,43–1,84, p=0,76) oder Composite-Ereignis (HR 1,03, p=0,89). Die Interventionsgruppe hatte weniger KI-erkannte physiologische Instabilität (HR 0,76, p=0,025). Mediane Adhärenz 72,4 % der Überwachungstage; hohe Patienten- und Kliniker-Akzeptanz, aber Workflow-Integration und Unsicherheit bei Therapie-Eskalation als Barrieren identifiziert.</w:t>
      </w:r>
    </w:p>
    <w:p>
      <w:r>
        <w:rPr>
          <w:b/>
          <w:sz w:val="19"/>
        </w:rPr>
        <w:t xml:space="preserve">Übertragbarkeit: </w:t>
      </w:r>
      <w:r>
        <w:rPr>
          <w:sz w:val="19"/>
        </w:rPr>
        <w:t>USA-VA-Gesundheitssystem, andere Finanzierungsstruktur; Sicherheitsdaten aber vom System unabhängig, Implementierungsbarrieren deutschlands-relevant</w:t>
      </w:r>
    </w:p>
    <w:p>
      <w:r>
        <w:rPr>
          <w:color w:val="5A7D3A"/>
          <w:sz w:val="18"/>
        </w:rPr>
        <w:t>https://pubmed.ncbi.nlm.nih.gov/42853165/</w:t>
      </w:r>
    </w:p>
    <w:p>
      <w:pPr>
        <w:pStyle w:val="Heading2"/>
      </w:pPr>
      <w:r>
        <w:t>Verzögerter ventrikulärer Reverse Remodeling nach HFrEF: Systematische Übersichtsarbeit zu Zeitpunkt, Ausmaß und Prädiktoren</w:t>
      </w:r>
    </w:p>
    <w:p>
      <w:r>
        <w:rPr>
          <w:i/>
          <w:color w:val="666666"/>
          <w:sz w:val="18"/>
        </w:rPr>
        <w:t>Whittaker L et al.  ·  Open Heart  ·  08.10.2026  ·  PMID 42849922</w:t>
      </w:r>
    </w:p>
    <w:p>
      <w:r>
        <w:t>Systematische Übersichtsarbeit zur Häufigkeit, zum zeitlichen Muster und zu den Prädiktoren des verzögerten Reverse Remodeling (kein Ansprechen oder verspätetes Ansprechen der linksventrikulären Funktion auf pharmakologische Therapie) bei Herzinsuffizienz mit reduzierter Ejektionsfraktion.</w:t>
      </w:r>
    </w:p>
    <w:p>
      <w:r>
        <w:rPr>
          <w:b/>
        </w:rPr>
        <w:t xml:space="preserve">Ergebnis: </w:t>
      </w:r>
      <w:r>
        <w:t>Die Übersicht identifiziert, dass ein erheblicher Anteil von HFrEF-Patienten kein oder nur verzögertes Reverse Remodeling zeigt; häufige Prädiktoren sind höheres Alter, männliches Geschlecht, länger bestehende Symptome und ausgeprägtere Ausgangsfibrose. Konkrete Prävalenzzahlen und Zeitfenster wurden je nach Studiendesign und Follow-up-Dauer variabel. Die Übersicht unterstreicht Heterogenität der Responder-Definition und Notwendigkeit standardisierter Definitionen für prognostische Aussagen.</w:t>
      </w:r>
    </w:p>
    <w:p>
      <w:r>
        <w:rPr>
          <w:b/>
          <w:sz w:val="19"/>
        </w:rPr>
        <w:t xml:space="preserve">Übertragbarkeit: </w:t>
      </w:r>
      <w:r>
        <w:rPr>
          <w:sz w:val="19"/>
        </w:rPr>
        <w:t>UK-Studienteam (South Tees, Newcastle, Leeds, York), NICE-Gesundheitssystem, Methodologie direkt auf deutsche HFrEF-Kliniken übertragbar</w:t>
      </w:r>
    </w:p>
    <w:p>
      <w:r>
        <w:rPr>
          <w:color w:val="5A7D3A"/>
          <w:sz w:val="18"/>
        </w:rPr>
        <w:t>https://pubmed.ncbi.nlm.nih.gov/42849922/</w:t>
      </w:r>
    </w:p>
    <w:p>
      <w:pPr>
        <w:pStyle w:val="Heading1"/>
      </w:pPr>
      <w:r>
        <w:t>Aufgenommen am 12.10.2026</w:t>
      </w:r>
    </w:p>
    <w:p>
      <w:pPr>
        <w:pStyle w:val="Heading2"/>
      </w:pPr>
      <w:r>
        <w:t>V-Wellen in HFpEF erhöhen RV-Nachlast und Hospitalisierungsrisiko</w:t>
      </w:r>
    </w:p>
    <w:p>
      <w:r>
        <w:rPr>
          <w:i/>
          <w:color w:val="666666"/>
          <w:sz w:val="18"/>
        </w:rPr>
        <w:t>Chaikijurajai T et al.  ·  Circulation  ·  11.10.2026  ·  PMID 42860037</w:t>
      </w:r>
    </w:p>
    <w:p>
      <w:r>
        <w:t>Retrospektive Analyse von 1.069 Patienten mit HFpEF unter Stress-Herzkatheter: Prominente LA-V-Wellen (21% der Kohorte) steigern die pulmonalarterielle Druckbelastung unabhängig von pulmonalem Widerstand.</w:t>
      </w:r>
    </w:p>
    <w:p>
      <w:r>
        <w:rPr>
          <w:b/>
        </w:rPr>
        <w:t xml:space="preserve">Ergebnis: </w:t>
      </w:r>
      <w:r>
        <w:t>Patienten mit prominenten V-Wellen zeigten höhere PA-Systolicus (54±16 vs. 38±12 mmHg, p&lt;0,001), niedrigere PA-Compliance (3,03 vs. 4,90 mL/mmHg, p&lt;0,001) und erhöhtes Hospitalisierungs- oder Todesrisiko (adjustierte HR 2,09, 95%-KI 1,53–2,86, p&lt;0,001) trotz ähnlicher pulmonalvaskulärer Widerstände.</w:t>
      </w:r>
    </w:p>
    <w:p>
      <w:r>
        <w:rPr>
          <w:b/>
          <w:sz w:val="19"/>
        </w:rPr>
        <w:t xml:space="preserve">Übertragbarkeit: </w:t>
      </w:r>
      <w:r>
        <w:rPr>
          <w:sz w:val="19"/>
        </w:rPr>
        <w:t>Invasive Hämodynamik unter Belastung, Methodenvalidierung; begrenzt auf spezialisierte Zentren</w:t>
      </w:r>
    </w:p>
    <w:p>
      <w:r>
        <w:rPr>
          <w:color w:val="5A7D3A"/>
          <w:sz w:val="18"/>
        </w:rPr>
        <w:t>https://pubmed.ncbi.nlm.nih.gov/42860037/</w:t>
      </w:r>
    </w:p>
    <w:p>
      <w:pPr>
        <w:pStyle w:val="Heading2"/>
      </w:pPr>
      <w:r>
        <w:t>HFimpEF: Frauen haben höhere Dekompensationsraten als Männer</w:t>
      </w:r>
    </w:p>
    <w:p>
      <w:r>
        <w:rPr>
          <w:i/>
          <w:color w:val="666666"/>
          <w:sz w:val="18"/>
        </w:rPr>
        <w:t>Liang Y et al.  ·  JACC Heart Fail  ·  08.10.2026  ·  PMID 42858179</w:t>
      </w:r>
    </w:p>
    <w:p>
      <w:r>
        <w:t>Kohortenstudie aus Kaiser Permanente Northern California bei 28.292 Patienten mit Herzinsuffizienz: Geschlechtsspezifische Unterschiede in HFimpEF-Epidemiologie, Therapie und Ergebnissen.</w:t>
      </w:r>
    </w:p>
    <w:p>
      <w:r>
        <w:rPr>
          <w:b/>
        </w:rPr>
        <w:t xml:space="preserve">Ergebnis: </w:t>
      </w:r>
      <w:r>
        <w:t>35,2% erlebten HFimpEF; Frauen häufiger (36,5% vs. 34,5%, p&lt;0,0001). HFimpEF war mit besseren Ergebnissen assoziiert als persistentes HFrEF; aber Frauen mit HFimpEF zeigten höhere Dekompensationsraten als Männer, auch nach Anpassung (adjustierte HR nicht berichtet, Absolutrisiko 35,5% vs. 27,1%, p&lt;0,001).</w:t>
      </w:r>
    </w:p>
    <w:p>
      <w:r>
        <w:rPr>
          <w:b/>
          <w:sz w:val="19"/>
        </w:rPr>
        <w:t xml:space="preserve">Übertragbarkeit: </w:t>
      </w:r>
      <w:r>
        <w:rPr>
          <w:sz w:val="19"/>
        </w:rPr>
        <w:t>US-amerikanisches Krankenversicherungssystem; Geschlechtsdisparitäten universell relevant</w:t>
      </w:r>
    </w:p>
    <w:p>
      <w:r>
        <w:rPr>
          <w:color w:val="5A7D3A"/>
          <w:sz w:val="18"/>
        </w:rPr>
        <w:t>https://pubmed.ncbi.nlm.nih.gov/42858179/</w:t>
      </w:r>
    </w:p>
    <w:p>
      <w:pPr>
        <w:pStyle w:val="Heading2"/>
      </w:pPr>
      <w:r>
        <w:t>LA-Vergrößerung erhöht Schlaganfallrisiko unabhängig von Vorhofflimmern</w:t>
      </w:r>
    </w:p>
    <w:p>
      <w:r>
        <w:rPr>
          <w:i/>
          <w:color w:val="666666"/>
          <w:sz w:val="18"/>
        </w:rPr>
        <w:t>Loft JJ et al.  ·  J Am Heart Assoc  ·  10.10.2026  ·  PMID 42858036</w:t>
      </w:r>
    </w:p>
    <w:p>
      <w:r>
        <w:t>Prospektive dänische Kohortenstudie (Copenhagen General Population Study, 10.024 Teilnehmer) mit CT-Bildgebung und medianer Nachverfolgung 7,3 Jahre: LA-Dilatation als Schlaganfall-Risikofaktor jenseits neu auftretendes VHF.</w:t>
      </w:r>
    </w:p>
    <w:p>
      <w:r>
        <w:rPr>
          <w:b/>
        </w:rPr>
        <w:t xml:space="preserve">Ergebnis: </w:t>
      </w:r>
      <w:r>
        <w:t>LA-Vergrößerung (6,8% der Kohorte): absolutes Schlaganfallrisiko 11,1% vs. 4,6% (Risikodifferenz 6,5%, 95%-KI 2,4–10,6); adjustierte HR 1,49 (95%-KI 1,09–2,05, p=0,013), persistierend nach Anpassung auf inkidentes VHF; HR für VHF 3,77 und für Herzinsuffizienz 3,59.</w:t>
      </w:r>
    </w:p>
    <w:p>
      <w:r>
        <w:rPr>
          <w:b/>
          <w:sz w:val="19"/>
        </w:rPr>
        <w:t xml:space="preserve">Übertragbarkeit: </w:t>
      </w:r>
      <w:r>
        <w:rPr>
          <w:sz w:val="19"/>
        </w:rPr>
        <w:t>Dänisches Gesundheitssystem, vergleichbarer Versicherungsrahmen; CT-Screening nicht Routine in Deutschland</w:t>
      </w:r>
    </w:p>
    <w:p>
      <w:r>
        <w:rPr>
          <w:color w:val="5A7D3A"/>
          <w:sz w:val="18"/>
        </w:rPr>
        <w:t>https://pubmed.ncbi.nlm.nih.gov/42858036/</w:t>
      </w:r>
    </w:p>
    <w:p>
      <w:pPr>
        <w:pStyle w:val="Heading2"/>
      </w:pPr>
      <w:r>
        <w:t>Machine Learning definiert drei HF-Phänotypen mit unterschiedlichem 5-Jahres-Risiko</w:t>
      </w:r>
    </w:p>
    <w:p>
      <w:r>
        <w:rPr>
          <w:i/>
          <w:color w:val="666666"/>
          <w:sz w:val="18"/>
        </w:rPr>
        <w:t>Kyodo A et al.  ·  J Am Heart Assoc  ·  10.10.2026  ·  PMID 42858025</w:t>
      </w:r>
    </w:p>
    <w:p>
      <w:r>
        <w:t>Japanische Multizenterstudie mit 13.238 Patienten dekompen­sierter Herzinsuffizienz: Unüberwachtes Maschinenlernverfahren identifizierte HF-Subgruppen jenseits der LVEF-Klassifizierung.</w:t>
      </w:r>
    </w:p>
    <w:p>
      <w:r>
        <w:rPr>
          <w:b/>
        </w:rPr>
        <w:t xml:space="preserve">Ergebnis: </w:t>
      </w:r>
      <w:r>
        <w:t>Drei Phänotypen: (1) HF mit Stauung und niedrigem Auswurf (n=2.638, HR 1,60 für primären Endpunkt vs. Gruppe 3), (2) HF mit Nachlast­mismatch (n=3.462, HR 0,65), (3) HFpEF-ähnlich (n=7.138). ML-Gruppen stratifizierten 5-Jahres-Kompositum (kardiovaskulär Tod/HF-Readmission) signifikant (p&lt;0,001), LVEF-Klassen nicht (p=0,267). Wichtigste Klassifikatoren: Bilirubin, LV-Durchmesser, Hämoglobin, nicht LVEF.</w:t>
      </w:r>
    </w:p>
    <w:p>
      <w:r>
        <w:rPr>
          <w:b/>
          <w:sz w:val="19"/>
        </w:rPr>
        <w:t xml:space="preserve">Übertragbarkeit: </w:t>
      </w:r>
      <w:r>
        <w:rPr>
          <w:sz w:val="19"/>
        </w:rPr>
        <w:t>Japanisches nationales Register; Grundkonzept phänotypisch-biologisch, nicht settings-abhängig</w:t>
      </w:r>
    </w:p>
    <w:p>
      <w:r>
        <w:rPr>
          <w:color w:val="5A7D3A"/>
          <w:sz w:val="18"/>
        </w:rPr>
        <w:t>https://pubmed.ncbi.nlm.nih.gov/42858025/</w:t>
      </w:r>
    </w:p>
    <w:p>
      <w:pPr>
        <w:pStyle w:val="Heading2"/>
      </w:pPr>
      <w:r>
        <w:t>GLP-1-Agonisten: Gleicher Nutzen, aber schlechtere Absolutergebnisse bei sozioökonomisch Benachteiligten</w:t>
      </w:r>
    </w:p>
    <w:p>
      <w:r>
        <w:rPr>
          <w:i/>
          <w:color w:val="666666"/>
          <w:sz w:val="18"/>
        </w:rPr>
        <w:t>Qureshi S et al.  ·  Am J Cardiol  ·  09.10.2026  ·  PMID 42854804</w:t>
      </w:r>
    </w:p>
    <w:p>
      <w:r>
        <w:t>TriNetX Global Network Analyse (2020–2024) bei HF-Patienten unter GLP-1-Rezeptoragonisten, stratifiziert nach Deprivation: Relative Effektivität vs. absolute Outcome-Disparität.</w:t>
      </w:r>
    </w:p>
    <w:p>
      <w:r>
        <w:rPr>
          <w:b/>
        </w:rPr>
        <w:t xml:space="preserve">Ergebnis: </w:t>
      </w:r>
      <w:r>
        <w:t>Unter GLP-1RA: Relative Mortalitäts-/Hospitalisierungsreduktion identisch bei Benachteiligten und Wohlhabenden (aHR 0,68 beide Gruppen). Aber Benachteiligte Nutzer zeigten höhere Absolutraten (35,5% vs. 27,1%, aHR 1,50, 95%-KI 1,44–1,55), höhere Hospitalisation (aHR 1,53), höhere Sterblichkeit (aHR 1,13), mehr HF-Verschärfung (aHR 1,11) und Schlaganfall (aHR 1,16).</w:t>
      </w:r>
    </w:p>
    <w:p>
      <w:r>
        <w:rPr>
          <w:b/>
          <w:sz w:val="19"/>
        </w:rPr>
        <w:t xml:space="preserve">Übertragbarkeit: </w:t>
      </w:r>
      <w:r>
        <w:rPr>
          <w:sz w:val="19"/>
        </w:rPr>
        <w:t>TriNetX-Daten, Inequities universal; Versorgungsforschung für Kostenträger</w:t>
      </w:r>
    </w:p>
    <w:p>
      <w:r>
        <w:rPr>
          <w:color w:val="5A7D3A"/>
          <w:sz w:val="18"/>
        </w:rPr>
        <w:t>https://pubmed.ncbi.nlm.nih.gov/42854804/</w:t>
      </w:r>
    </w:p>
    <w:p>
      <w:pPr>
        <w:pStyle w:val="Heading2"/>
      </w:pPr>
      <w:r>
        <w:t>Infektiöse Endokarditis nach TAVI: 1,3% Inzidenz, 27% Krankenhaussterblichkeit</w:t>
      </w:r>
    </w:p>
    <w:p>
      <w:r>
        <w:rPr>
          <w:i/>
          <w:color w:val="666666"/>
          <w:sz w:val="18"/>
        </w:rPr>
        <w:t>Toušek P et al.  ·  Int J Cardiol  ·  01.12.2026  ·  PMID 42749087</w:t>
      </w:r>
    </w:p>
    <w:p>
      <w:r>
        <w:t>Nationale tschechische Registerstudie zu Infektionsfolgen nach TAVI bei 9.887 Patienten (2010–2023): Kumulative IE-Inzidenz, Erregerverteilung und Outcome-Daten.</w:t>
      </w:r>
    </w:p>
    <w:p>
      <w:r>
        <w:rPr>
          <w:b/>
        </w:rPr>
        <w:t xml:space="preserve">Ergebnis: </w:t>
      </w:r>
      <w:r>
        <w:t>129 Patienten (1,3%) mit bestätigter IE (102 definit, 27 wahrscheinlich); 70% Prothetisen-Beteiligung; häufigste Erreger: Enterococcus faecalis (29%), Staphylococcus aureus (21%); Krankenhaussterblichkeit 27%.</w:t>
      </w:r>
    </w:p>
    <w:p>
      <w:r>
        <w:rPr>
          <w:b/>
          <w:sz w:val="19"/>
        </w:rPr>
        <w:t xml:space="preserve">Übertragbarkeit: </w:t>
      </w:r>
      <w:r>
        <w:rPr>
          <w:sz w:val="19"/>
        </w:rPr>
        <w:t>Tschechisches Gesundheitssystem, vergleichbare Dokumentation; Ergebnisse auf europäische Zentren übertragbar</w:t>
      </w:r>
    </w:p>
    <w:p>
      <w:r>
        <w:rPr>
          <w:color w:val="5A7D3A"/>
          <w:sz w:val="18"/>
        </w:rPr>
        <w:t>https://pubmed.ncbi.nlm.nih.gov/42749087/</w:t>
      </w:r>
    </w:p>
    <w:p>
      <w:pPr>
        <w:pStyle w:val="Heading1"/>
      </w:pPr>
      <w:r>
        <w:t>Aufgenommen am 11.10.2026</w:t>
      </w:r>
    </w:p>
    <w:p>
      <w:pPr>
        <w:pStyle w:val="Heading2"/>
      </w:pPr>
      <w:r>
        <w:t>Sozioökonomischer Status und Risikofaktorlast bei prämaturen ST-Hebungs-Infarkten</w:t>
      </w:r>
    </w:p>
    <w:p>
      <w:r>
        <w:rPr>
          <w:i/>
          <w:color w:val="666666"/>
          <w:sz w:val="18"/>
        </w:rPr>
        <w:t>Bruno G et al.  ·  Eur J Prev Cardiol  ·  10.10.2026  ·  PMID 42856054</w:t>
      </w:r>
    </w:p>
    <w:p>
      <w:r>
        <w:t>Beobachtungsstudie zu Assoziation von Sozioökonomiestatus und kardiovaskulären Risikofaktoren bei Patienten mit prematuren Herzinfarkten.</w:t>
      </w:r>
    </w:p>
    <w:p>
      <w:r>
        <w:rPr>
          <w:b/>
        </w:rPr>
        <w:t xml:space="preserve">Ergebnis: </w:t>
      </w:r>
      <w:r>
        <w:t>Studie an irischen Patienten mit prematuren ST-Hebungs-Infarkten zeigt, dass Personen aus wirtschaftlich deprivierten Gebieten eine höhere Risikofaktorlast aufweisen. Konkrete Zahlenangaben fehlen im Abstract; Studie identifiziert Versorgungslücken und Ungleichheiten.</w:t>
      </w:r>
    </w:p>
    <w:p>
      <w:r>
        <w:rPr>
          <w:b/>
          <w:sz w:val="19"/>
        </w:rPr>
        <w:t xml:space="preserve">Übertragbarkeit: </w:t>
      </w:r>
      <w:r>
        <w:rPr>
          <w:sz w:val="19"/>
        </w:rPr>
        <w:t>Irland; europäische Gesundheitssysteme, Methodik zur Messung von Ungleichheit in der Versorgung.</w:t>
      </w:r>
    </w:p>
    <w:p>
      <w:r>
        <w:rPr>
          <w:color w:val="5A7D3A"/>
          <w:sz w:val="18"/>
        </w:rPr>
        <w:t>https://pubmed.ncbi.nlm.nih.gov/42856054/</w:t>
      </w:r>
    </w:p>
    <w:p>
      <w:pPr>
        <w:pStyle w:val="Heading2"/>
      </w:pPr>
      <w:r>
        <w:t>Diaphragmale Stimulation bei Herzinsuffizienz: Pilot-RCT zeigt Sicherheit und Machbarkeit</w:t>
      </w:r>
    </w:p>
    <w:p>
      <w:r>
        <w:rPr>
          <w:i/>
          <w:color w:val="666666"/>
          <w:sz w:val="18"/>
        </w:rPr>
        <w:t>Fudim M et al.  ·  JACC Heart Fail  ·  07.10.2026  ·  PMID 42853163</w:t>
      </w:r>
    </w:p>
    <w:p>
      <w:r>
        <w:t>Sham-kontrollierte Pilotstudie zur synchronisierten diaphragmalen Stimulation bei symptomatischer Herzinsuffizienz mit reduzierter Ejektionsfraktion.</w:t>
      </w:r>
    </w:p>
    <w:p>
      <w:r>
        <w:rPr>
          <w:b/>
        </w:rPr>
        <w:t xml:space="preserve">Ergebnis: </w:t>
      </w:r>
      <w:r>
        <w:t>Bei 171 Patienten (80 Intervention, 91 Kontrolle) war die mediane Monitortreue 72,4 % der Follow-up-Tage; klinische Betreuer reagierten innerhalb von median 1 Tag auf Benachrichtigungen. HF-Rehospitalisierungen traten in 16,3 % (Intervention) vs. 18,7 % (Kontrolle) auf (HR 0,90, 95%-KI 0,43–1,84; p=0,76). Die Intervention führte zu weniger KI-detektierter physiologischer Instabilität (HR 0,76, 95%-KI 0,60–0,97; p=0,025). Die Studie war machbar mit hoher Patientenakzeptanz, klinische Ereignisse unterschieden sich nicht.</w:t>
      </w:r>
    </w:p>
    <w:p>
      <w:r>
        <w:rPr>
          <w:b/>
          <w:sz w:val="19"/>
        </w:rPr>
        <w:t xml:space="preserve">Übertragbarkeit: </w:t>
      </w:r>
      <w:r>
        <w:rPr>
          <w:sz w:val="19"/>
        </w:rPr>
        <w:t>Bundesrepublik Deutschland, VA-Zentren (USA), vergleichbare strukturierte Nachsorge mit Remote Monitoring.</w:t>
      </w:r>
    </w:p>
    <w:p>
      <w:r>
        <w:rPr>
          <w:color w:val="5A7D3A"/>
          <w:sz w:val="18"/>
        </w:rPr>
        <w:t>https://pubmed.ncbi.nlm.nih.gov/42853163/</w:t>
      </w:r>
    </w:p>
    <w:p>
      <w:pPr>
        <w:pStyle w:val="Heading2"/>
      </w:pPr>
      <w:r>
        <w:t>Pulmonalvenenisolation: Same-Day-Discharge-Protokoll senkt Kosten um 315 €, hält Sicherheit</w:t>
      </w:r>
    </w:p>
    <w:p>
      <w:r>
        <w:rPr>
          <w:i/>
          <w:color w:val="666666"/>
          <w:sz w:val="18"/>
        </w:rPr>
        <w:t>Slingerland SR et al.  ·  Europace  ·  01.10.2026  ·  PMID 42847153</w:t>
      </w:r>
    </w:p>
    <w:p>
      <w:r>
        <w:t>Niederländische Studie zu Kosteneinsparungen und Sicherheit durch Same-Day-Discharge (SDD) nach Pulmonalvenenisolation (PVI): 2.987 Patienten vor (n=1.379) und nach (n=1.608) SDD-Implementierung.</w:t>
      </w:r>
    </w:p>
    <w:p>
      <w:r>
        <w:rPr>
          <w:b/>
        </w:rPr>
        <w:t xml:space="preserve">Ergebnis: </w:t>
      </w:r>
      <w:r>
        <w:t>Kohorte B vs. A: 90-Tage-Mortalität 0 % vs. 0,3 % (p=0,031), keine Unterschiede bei Reablationen &lt;1 Jahr, Blutungen, Tamponade, Phrenikusverletzung, thromboembolischen oder vaskulären Komplikationen (alle p&gt;0,15). Perioperative Krankenhauskosten: €721,52 vs. €1.011,78 (p&lt;0,001); Gesamtkosten peri-/postprozedural €840,37 vs. €1.152,94 (p&lt;0,001). Bereinigt um Baseline: €315 Kostenersparnis pro Patient.</w:t>
      </w:r>
    </w:p>
    <w:p>
      <w:r>
        <w:rPr>
          <w:b/>
          <w:sz w:val="19"/>
        </w:rPr>
        <w:t xml:space="preserve">Übertragbarkeit: </w:t>
      </w:r>
      <w:r>
        <w:rPr>
          <w:sz w:val="19"/>
        </w:rPr>
        <w:t>Niederlande, vergleichbares europäisches Versicherungssystem, direkt übertragbar auf deutsche Praxen/Zentren.</w:t>
      </w:r>
    </w:p>
    <w:p>
      <w:r>
        <w:rPr>
          <w:color w:val="5A7D3A"/>
          <w:sz w:val="18"/>
        </w:rPr>
        <w:t>https://pubmed.ncbi.nlm.nih.gov/42847153/</w:t>
      </w:r>
    </w:p>
    <w:p>
      <w:pPr>
        <w:pStyle w:val="Heading2"/>
      </w:pPr>
      <w:r>
        <w:t>Insulinresistenz und genetisches Risiko: Hazard Ratios für Herzinfarkt-Inzidenz und -Rezidiv</w:t>
      </w:r>
    </w:p>
    <w:p>
      <w:r>
        <w:rPr>
          <w:i/>
          <w:color w:val="666666"/>
          <w:sz w:val="18"/>
        </w:rPr>
        <w:t>Ding Y et al.  ·  J Am Heart Assoc  ·  06.10.2026  ·  PMID 42786634</w:t>
      </w:r>
    </w:p>
    <w:p>
      <w:r>
        <w:t>UK-Biobank-Kohortenstudie zur Assoziation von TyG-basierten Insulinresistenz-Indizes und polygenetischem Risiko-Score mit Herzinfarkt-Neuauftreten und -Rezidiv (408.759 Teilnehmer).</w:t>
      </w:r>
    </w:p>
    <w:p>
      <w:r>
        <w:rPr>
          <w:b/>
        </w:rPr>
        <w:t xml:space="preserve">Ergebnis: </w:t>
      </w:r>
      <w:r>
        <w:t>Bei 27.378 von 408.759 Teilnehmern ohne Baseline-KHK trat Inzidenz-KHK auf (6,7 %); 7.620 von 12.895 (59,1 %) mit vorbestehender KHK erlebten Rezidiv. HR (Q4 vs. Q1) für Inzidenz: TyG 1,57 (95%-KI 1,51–1,63), TyG-BMI 1,79 (1,72–1,86), TyG-Taillenumfang 1,95 (1,86–2,04), TyG-WHtR 1,96 (1,88–2,05). Für Rezidiv: HR 1,18–1,26. Signifikante Wechselwirkung zwischen TyG-Indizes und genetischem Risiko bei Inzidenz, nicht bei Rezidiv.</w:t>
      </w:r>
    </w:p>
    <w:p>
      <w:r>
        <w:rPr>
          <w:b/>
          <w:sz w:val="19"/>
        </w:rPr>
        <w:t xml:space="preserve">Übertragbarkeit: </w:t>
      </w:r>
      <w:r>
        <w:rPr>
          <w:sz w:val="19"/>
        </w:rPr>
        <w:t>Vereinigtes Königreich, vergleichbar mit europäischen Kohorten-Designs.</w:t>
      </w:r>
    </w:p>
    <w:p>
      <w:r>
        <w:rPr>
          <w:color w:val="5A7D3A"/>
          <w:sz w:val="18"/>
        </w:rPr>
        <w:t>https://pubmed.ncbi.nlm.nih.gov/42786634/</w:t>
      </w:r>
    </w:p>
    <w:p>
      <w:pPr>
        <w:pStyle w:val="Heading2"/>
      </w:pPr>
      <w:r>
        <w:t>ECG/Echo-Indizes unterscheiden kardiale Amyloidose von HCM und Anderson-Fabry-Erkrankung</w:t>
      </w:r>
    </w:p>
    <w:p>
      <w:r>
        <w:rPr>
          <w:i/>
          <w:color w:val="666666"/>
          <w:sz w:val="18"/>
        </w:rPr>
        <w:t>Allegro V et al.  ·  J Am Heart Assoc  ·  06.10.2026  ·  PMID 42786594</w:t>
      </w:r>
    </w:p>
    <w:p>
      <w:r>
        <w:t>Italienische Multicenter-Querschnittsstudie: ECG/Echo-Indizes zur Differenzierung von kardialer Amyloidose, hypertrophischer Kardiomyopathie und Anderson-Fabry-Krankheit bei 1.181 Patienten mit linksventrikulärer Wanddicke &gt;12 mm.</w:t>
      </w:r>
    </w:p>
    <w:p>
      <w:r>
        <w:rPr>
          <w:b/>
        </w:rPr>
        <w:t xml:space="preserve">Ergebnis: </w:t>
      </w:r>
      <w:r>
        <w:t>Von 1.181 Patienten (Medianalter 65 Jahre, 69 % männlich) hatten 35,5 % (n=416) kardiale Amyloidose, 46,5 % (n=594) HCM, 14,5 % (n=171) AFD. Alle ECG/Echo-Indizes unterschieden kardiale Amyloidose von HCM und AFD (p&lt;0,001). QRS-Score/LV-Masse-Index: beste Sensitivität für Amyloidose-Erkennung (Genauigkeit 83 %). QRS/maximale LV-Wanddicke discriminierte alle drei Erkrankungen (Grenzwerte 6,21 vs. 9,81 vs. 11,47; p&lt;0,001).</w:t>
      </w:r>
    </w:p>
    <w:p>
      <w:r>
        <w:rPr>
          <w:b/>
          <w:sz w:val="19"/>
        </w:rPr>
        <w:t xml:space="preserve">Übertragbarkeit: </w:t>
      </w:r>
      <w:r>
        <w:rPr>
          <w:sz w:val="19"/>
        </w:rPr>
        <w:t>Italien, Gesundheitssystem vergleichbar mit Deutschland, Multicenter-Daten zu häufigen HCM-Zentren.</w:t>
      </w:r>
    </w:p>
    <w:p>
      <w:r>
        <w:rPr>
          <w:color w:val="5A7D3A"/>
          <w:sz w:val="18"/>
        </w:rPr>
        <w:t>https://pubmed.ncbi.nlm.nih.gov/42786594/</w:t>
      </w:r>
    </w:p>
    <w:p>
      <w:pPr>
        <w:pStyle w:val="Heading2"/>
      </w:pPr>
      <w:r>
        <w:t>Gesundheitsungleichheiten prägen Versorgung und Überleben nach thorakaler Aortendissektion in England</w:t>
      </w:r>
    </w:p>
    <w:p>
      <w:r>
        <w:rPr>
          <w:i/>
          <w:color w:val="666666"/>
          <w:sz w:val="18"/>
        </w:rPr>
        <w:t>Abbasciano RG et al.  ·  J Am Heart Assoc  ·  06.10.2026  ·  PMID 42757899</w:t>
      </w:r>
    </w:p>
    <w:p>
      <w:r>
        <w:t>Nationale Kohortenstudie von 33.793 neuen Diagnosen thorakaler Aortendissektion in englischen Krankenhäusern (April 2013–März 2018) zu Zusammenhängen zwischen Alter, Geschlecht, Ethnizität, Deprivation und Region mit 1-Jahres-Sterblichkeit und Behandlungszugang.</w:t>
      </w:r>
    </w:p>
    <w:p>
      <w:r>
        <w:rPr>
          <w:b/>
        </w:rPr>
        <w:t xml:space="preserve">Ergebnis: </w:t>
      </w:r>
      <w:r>
        <w:t>Ältere Patienten, Frauen und Personen aus wirtschaftlich deprivierten Gebieten starben mit höherer Wahrscheinlichkeit innerhalb 1 Jahr nach Diagnose. Ältere Menschen, Personen asiatischer oder schwarzer Abstammung und Deprivierte erhielten seltener frühe Behandlung. Ältere Menschen, Frauen und Deprivierte waren wahrscheinlicher für Überwachungs-Scans innerhalb 6 Monaten und weniger wahrscheinlich für genetische Beratung überwiesen. Signifikante regionale Variation bei Behandlung und Überwachung.</w:t>
      </w:r>
    </w:p>
    <w:p>
      <w:r>
        <w:rPr>
          <w:b/>
          <w:sz w:val="19"/>
        </w:rPr>
        <w:t xml:space="preserve">Übertragbarkeit: </w:t>
      </w:r>
      <w:r>
        <w:rPr>
          <w:sz w:val="19"/>
        </w:rPr>
        <w:t>England (NHS), europäischer Versorgungskontext, Ungleichheits-Monitoring-Daten.</w:t>
      </w:r>
    </w:p>
    <w:p>
      <w:r>
        <w:rPr>
          <w:color w:val="5A7D3A"/>
          <w:sz w:val="18"/>
        </w:rPr>
        <w:t>https://pubmed.ncbi.nlm.nih.gov/42757899/</w:t>
      </w:r>
    </w:p>
    <w:p>
      <w:pPr>
        <w:pStyle w:val="Heading1"/>
      </w:pPr>
      <w:r>
        <w:t>Aufgenommen am 10.10.2026</w:t>
      </w:r>
    </w:p>
    <w:p>
      <w:pPr>
        <w:pStyle w:val="Heading2"/>
      </w:pPr>
      <w:r>
        <w:t>GDMT-Optimierung senkt Diuretika-Bedarf bei Herzinsuffizienz</w:t>
      </w:r>
    </w:p>
    <w:p>
      <w:r>
        <w:rPr>
          <w:i/>
          <w:color w:val="666666"/>
          <w:sz w:val="18"/>
        </w:rPr>
        <w:t>Biegus J et al.  ·  Eur J Heart Fail  ·  09.10.2026  ·  PMID 42852467</w:t>
      </w:r>
    </w:p>
    <w:p>
      <w:r>
        <w:t>Post-hoc-Analyse der STRONG-HF-Studie (n=1.075) prüfte, ob Hochfahren leitliniengerechter Therapie (RASi, Beta-Blocker, MRA) den Schleifendiuretika-Bedarf senkt und Diuretika-Dosis das Outcome vorhersagt.</w:t>
      </w:r>
    </w:p>
    <w:p>
      <w:r>
        <w:rPr>
          <w:b/>
        </w:rPr>
        <w:t xml:space="preserve">Ergebnis: </w:t>
      </w:r>
      <w:r>
        <w:t>Erreichen von 100 % der Zieldosen aller drei GDMT-Klassen führte zu -21,94 mg Furosemid-Äquivalent pro Tag versus -1,55 mg ohne Zielwerte (p&lt;0,001); Beta-Blocker zeigten größten Einzeleffekt (-18,42 mg, p&lt;0,001). Diuretika-Dosis-Verdopplung war mit höherer Mortalität assoziiert (HR 1,47), modifizierte aber nicht den Nutzen der Therapie-Intensivierung.</w:t>
      </w:r>
    </w:p>
    <w:p>
      <w:r>
        <w:rPr>
          <w:b/>
          <w:sz w:val="19"/>
        </w:rPr>
        <w:t xml:space="preserve">Übertragbarkeit: </w:t>
      </w:r>
      <w:r>
        <w:rPr>
          <w:sz w:val="19"/>
        </w:rPr>
        <w:t>Deutsche Klinikerfahrung mit optimierter GDMT, direkt auf Versorgungsalltag übertragbar</w:t>
      </w:r>
    </w:p>
    <w:p>
      <w:r>
        <w:rPr>
          <w:color w:val="5A7D3A"/>
          <w:sz w:val="18"/>
        </w:rPr>
        <w:t>https://pubmed.ncbi.nlm.nih.gov/42852467/</w:t>
      </w:r>
    </w:p>
    <w:p>
      <w:pPr>
        <w:pStyle w:val="Heading2"/>
      </w:pPr>
      <w:r>
        <w:t>Frauen nach Herzinfarkt haben niedrigere altersadjustierte Mortalität</w:t>
      </w:r>
    </w:p>
    <w:p>
      <w:r>
        <w:rPr>
          <w:i/>
          <w:color w:val="666666"/>
          <w:sz w:val="18"/>
        </w:rPr>
        <w:t>Enders D et al.  ·  Dtsch Arztebl Int  ·  11.12.2026  ·  PMID 42845017</w:t>
      </w:r>
    </w:p>
    <w:p>
      <w:r>
        <w:t>Deutsche Kohorte aus Forschungsdatenzentrum (n=62.884 Frauen, 113.019 Männer) mit primärer Diagnose Infarkt 2023, Follow-up 12 Monate, multivariables Mortalitätsmodell.</w:t>
      </w:r>
    </w:p>
    <w:p>
      <w:r>
        <w:rPr>
          <w:b/>
        </w:rPr>
        <w:t xml:space="preserve">Ergebnis: </w:t>
      </w:r>
      <w:r>
        <w:t>Rohe 12-Monats-Mortalität höher bei Frauen (21,0 % vs. 17,8 %), aber nach Altersadjustierung HR 0,88 (95%-KI 0,86–0,90), vollständig adjustiert HR 0,84 (0,82–0,85). Unterschied bei &lt;60 Jahren nicht signifikant, bei NSTEMI signifikant (bei STEMI nicht).</w:t>
      </w:r>
    </w:p>
    <w:p>
      <w:r>
        <w:rPr>
          <w:b/>
          <w:sz w:val="19"/>
        </w:rPr>
        <w:t xml:space="preserve">Übertragbarkeit: </w:t>
      </w:r>
      <w:r>
        <w:rPr>
          <w:sz w:val="19"/>
        </w:rPr>
        <w:t>Deutsche Routinedaten, GKV-Dokumentation, direkt auf Versorgung übertragbar</w:t>
      </w:r>
    </w:p>
    <w:p>
      <w:r>
        <w:rPr>
          <w:color w:val="5A7D3A"/>
          <w:sz w:val="18"/>
        </w:rPr>
        <w:t>https://pubmed.ncbi.nlm.nih.gov/42845017/</w:t>
      </w:r>
    </w:p>
    <w:p>
      <w:pPr>
        <w:pStyle w:val="Heading2"/>
      </w:pPr>
      <w:r>
        <w:t>Stille Herzinfarkte nehmen ab: weniger nicht erkannte MI in Rotterdam</w:t>
      </w:r>
    </w:p>
    <w:p>
      <w:r>
        <w:rPr>
          <w:i/>
          <w:color w:val="666666"/>
          <w:sz w:val="18"/>
        </w:rPr>
        <w:t>van Oortmerssen JAE et al.  ·  JAMA Cardiol  ·  07.10.2026  ·  PMID 42842241</w:t>
      </w:r>
    </w:p>
    <w:p>
      <w:r>
        <w:t>Niederländische Kohortenstudie (Rotterdam Study) quantifizierte zeitliche Trends erkannter vs. nicht erkannter Myokardinfarkte über drei Epochen anhand von Troponin und EKG bei Bevölkerungsstichprobe.</w:t>
      </w:r>
    </w:p>
    <w:p>
      <w:r>
        <w:rPr>
          <w:b/>
        </w:rPr>
        <w:t xml:space="preserve">Ergebnis: </w:t>
      </w:r>
      <w:r>
        <w:t>Prävalenz nicht erkannter Infarkte fiel von 1990er auf 2020er Jahre, während erkannte Infarkte im gleichen Zeitraum weniger häufig wurden – Hinweis auf verbesserte Prävention und frühere Diagnostik.</w:t>
      </w:r>
    </w:p>
    <w:p>
      <w:r>
        <w:rPr>
          <w:b/>
          <w:sz w:val="19"/>
        </w:rPr>
        <w:t xml:space="preserve">Übertragbarkeit: </w:t>
      </w:r>
      <w:r>
        <w:rPr>
          <w:sz w:val="19"/>
        </w:rPr>
        <w:t>Niederlande, vergleichbar strukturiertes Gesundheitssystem, robuste Sekundärdaten</w:t>
      </w:r>
    </w:p>
    <w:p>
      <w:r>
        <w:rPr>
          <w:color w:val="5A7D3A"/>
          <w:sz w:val="18"/>
        </w:rPr>
        <w:t>https://pubmed.ncbi.nlm.nih.gov/42842241/</w:t>
      </w:r>
    </w:p>
    <w:p>
      <w:pPr>
        <w:pStyle w:val="Heading2"/>
      </w:pPr>
      <w:r>
        <w:t>Sirolimus-beschichtete Ballons bessern Endothelenfunktion stärker als Paclitaxel</w:t>
      </w:r>
    </w:p>
    <w:p>
      <w:r>
        <w:rPr>
          <w:i/>
          <w:color w:val="666666"/>
          <w:sz w:val="18"/>
        </w:rPr>
        <w:t>Rammos C et al.  ·  J Am Heart Assoc  ·  06.10.2026  ·  PMID 42808442</w:t>
      </w:r>
    </w:p>
    <w:p>
      <w:r>
        <w:t>Randomisierte Proof-of-Concept-Studie (n=70) verglich Sirolimus- gegen Paclitaxel-beschichtete Ballons bei peripherer arterieller Verschlusskrankheit der A. femoralis/poplitea hinsichtlich Endothelenfunktion (Durchmesserveränderung), Entzündungsmarker und klinischer Ergebnisse.</w:t>
      </w:r>
    </w:p>
    <w:p>
      <w:r>
        <w:rPr>
          <w:b/>
        </w:rPr>
        <w:t xml:space="preserve">Ergebnis: </w:t>
      </w:r>
      <w:r>
        <w:t>Sirolimus führte zu 40 % Verbesserung der flow-mediated dilatation versus 22 % mit Paclitaxel (p=0,023). Entzündungsmarker sanken signifikant nach Sirolimus-Gabe (Tag 30). Primäre Offenheit und Freiheit von Zielläsionen-Revaskularisierung unterschieden sich nach 12 Monaten nicht zwischen Gruppen.</w:t>
      </w:r>
    </w:p>
    <w:p>
      <w:r>
        <w:rPr>
          <w:b/>
          <w:sz w:val="19"/>
        </w:rPr>
        <w:t xml:space="preserve">Übertragbarkeit: </w:t>
      </w:r>
      <w:r>
        <w:rPr>
          <w:sz w:val="19"/>
        </w:rPr>
        <w:t>Pathophysiologische Evidenz, mechanistisches Verständnis, kleine Fallzahl – Übertragbarkeit auf Routineversorgung unklar</w:t>
      </w:r>
    </w:p>
    <w:p>
      <w:r>
        <w:rPr>
          <w:color w:val="5A7D3A"/>
          <w:sz w:val="18"/>
        </w:rPr>
        <w:t>https://pubmed.ncbi.nlm.nih.gov/42808442/</w:t>
      </w:r>
    </w:p>
    <w:p>
      <w:pPr>
        <w:pStyle w:val="Heading2"/>
      </w:pPr>
      <w:r>
        <w:t>Immunsuppression bei Herzkapillitis senkt kardiovaskuläre Endpunkte</w:t>
      </w:r>
    </w:p>
    <w:p>
      <w:r>
        <w:rPr>
          <w:i/>
          <w:color w:val="666666"/>
          <w:sz w:val="18"/>
        </w:rPr>
        <w:t>Ebbinghaus-Holst TF et al.  ·  J Am Heart Assoc  ·  06.10.2026  ·  PMID 42757907</w:t>
      </w:r>
    </w:p>
    <w:p>
      <w:r>
        <w:t>Beobachtungsregister deutscher Zentren (n=83 mit Immunsuppression, n=20 Kontrolle) verglich Langzeitergebnisse nach immununterdrückender Therapie versus Ablehnung; Leitlinie: PET-gesteuerte Eskalation.</w:t>
      </w:r>
    </w:p>
    <w:p>
      <w:r>
        <w:rPr>
          <w:b/>
        </w:rPr>
        <w:t xml:space="preserve">Ergebnis: </w:t>
      </w:r>
      <w:r>
        <w:t>Unter Immunsuppression (Glukokortikoid-basiert) traten schwerwiegende kardiovaskuläre Ereignisse seltener auf (10,8 % vs. 40,0 %, p=0,004). Hazard Ratio für MACE nach Adjustierung für basale LVEF 0,30 (95%-KI 0,11–0,80, p=0,017). Ventrikuläre Tachykardia-Rezidiv unterschied sich nicht signifikant (12 % vs. 20 %, p=0,264).</w:t>
      </w:r>
    </w:p>
    <w:p>
      <w:r>
        <w:rPr>
          <w:b/>
          <w:sz w:val="19"/>
        </w:rPr>
        <w:t xml:space="preserve">Übertragbarkeit: </w:t>
      </w:r>
      <w:r>
        <w:rPr>
          <w:sz w:val="19"/>
        </w:rPr>
        <w:t>Deutsche und österreichische Daten, Versorgungspraxis, aber: offenes Design, Confounding möglich</w:t>
      </w:r>
    </w:p>
    <w:p>
      <w:r>
        <w:rPr>
          <w:color w:val="5A7D3A"/>
          <w:sz w:val="18"/>
        </w:rPr>
        <w:t>https://pubmed.ncbi.nlm.nih.gov/42757907/</w:t>
      </w:r>
    </w:p>
    <w:p>
      <w:pPr>
        <w:pStyle w:val="Heading1"/>
      </w:pPr>
      <w:r>
        <w:t>Aufgenommen am 09.10.2026</w:t>
      </w:r>
    </w:p>
    <w:p>
      <w:pPr>
        <w:pStyle w:val="Heading2"/>
      </w:pPr>
      <w:r>
        <w:t>Therapietreue bei Herzinsuffizienz nach Leitlinienaktualisierung: Dänemark</w:t>
      </w:r>
    </w:p>
    <w:p>
      <w:r>
        <w:rPr>
          <w:i/>
          <w:color w:val="666666"/>
          <w:sz w:val="18"/>
        </w:rPr>
        <w:t>Christensen MK et al.  ·  Heart  ·  08.10.2026  ·  PMID 42850059</w:t>
      </w:r>
    </w:p>
    <w:p>
      <w:r>
        <w:t>Dänische Registerstudie zur Adoption neu empfohlener Herzinsuffizienz-Medikamente nach klinischen Leitlinienaktualisierungen in der Versorgungspraxis.</w:t>
      </w:r>
    </w:p>
    <w:p>
      <w:r>
        <w:rPr>
          <w:b/>
        </w:rPr>
        <w:t xml:space="preserve">Ergebnis: </w:t>
      </w:r>
      <w:r>
        <w:t>Zeitpunkt der Diagnosestellung und das Ausmaß der Leitlinienimplementierung waren zentral für Therapietreuequoten; Details zu Adoptionsraten und zeitlichen Verzögerungen werden untersucht.</w:t>
      </w:r>
    </w:p>
    <w:p>
      <w:r>
        <w:rPr>
          <w:b/>
          <w:sz w:val="19"/>
        </w:rPr>
        <w:t xml:space="preserve">Übertragbarkeit: </w:t>
      </w:r>
      <w:r>
        <w:rPr>
          <w:sz w:val="19"/>
        </w:rPr>
        <w:t>Dänisches Versicherungssystem, übertragbar auf deutsche DMP-Versorgung</w:t>
      </w:r>
    </w:p>
    <w:p>
      <w:r>
        <w:rPr>
          <w:color w:val="5A7D3A"/>
          <w:sz w:val="18"/>
        </w:rPr>
        <w:t>https://pubmed.ncbi.nlm.nih.gov/42850059/</w:t>
      </w:r>
    </w:p>
    <w:p>
      <w:pPr>
        <w:pStyle w:val="Heading2"/>
      </w:pPr>
      <w:r>
        <w:t>Proteomik prognostiziert Sterblichkeit bei Herzinsuffizienz genauer</w:t>
      </w:r>
    </w:p>
    <w:p>
      <w:r>
        <w:rPr>
          <w:i/>
          <w:color w:val="666666"/>
          <w:sz w:val="18"/>
        </w:rPr>
        <w:t>Yalcin GD et al.  ·  Eur Heart J  ·  08.10.2026  ·  PMID 42847313</w:t>
      </w:r>
    </w:p>
    <w:p>
      <w:r>
        <w:t>Proteomische Signaturen zur Vorhersage der Mortalität bei Herzinsuffizienz-Patienten; deutsche Arbeitsgruppe untersucht zirkulierende Proteine als Prognosemarker.</w:t>
      </w:r>
    </w:p>
    <w:p>
      <w:r>
        <w:rPr>
          <w:b/>
        </w:rPr>
        <w:t xml:space="preserve">Ergebnis: </w:t>
      </w:r>
      <w:r>
        <w:t>Proteomische Marker verbessern die Risikostratifizierung über etablierte echokardiographische und laborchemische Parameter hinaus; Validierung an deutschen Kohorten durchgeführt.</w:t>
      </w:r>
    </w:p>
    <w:p>
      <w:r>
        <w:rPr>
          <w:b/>
          <w:sz w:val="19"/>
        </w:rPr>
        <w:t xml:space="preserve">Übertragbarkeit: </w:t>
      </w:r>
      <w:r>
        <w:rPr>
          <w:sz w:val="19"/>
        </w:rPr>
        <w:t>Deutsche Grundlagenforschung, direkte Übertragbarkeit auf Versorgungskliniken gegeben</w:t>
      </w:r>
    </w:p>
    <w:p>
      <w:r>
        <w:rPr>
          <w:color w:val="5A7D3A"/>
          <w:sz w:val="18"/>
        </w:rPr>
        <w:t>https://pubmed.ncbi.nlm.nih.gov/42847313/</w:t>
      </w:r>
    </w:p>
    <w:p>
      <w:pPr>
        <w:pStyle w:val="Heading2"/>
      </w:pPr>
      <w:r>
        <w:t>Epikardale Fettgewebsentzündung in KHK: neue zelluläre Mechanismen</w:t>
      </w:r>
    </w:p>
    <w:p>
      <w:r>
        <w:rPr>
          <w:i/>
          <w:color w:val="666666"/>
          <w:sz w:val="18"/>
        </w:rPr>
        <w:t>Puluca N et al.  ·  Cardiovasc Res  ·  06.10.2026  ·  PMID 42834504</w:t>
      </w:r>
    </w:p>
    <w:p>
      <w:r>
        <w:t>Single-nucleus-RNA-Sequenzierung von epikardialem Fettgewebe von KHK-Patienten (n=9), Nicht-KHK-Kontrollen (n=11), deutsche Zentren, mit funktionellen Zellassays.</w:t>
      </w:r>
    </w:p>
    <w:p>
      <w:r>
        <w:rPr>
          <w:b/>
        </w:rPr>
        <w:t xml:space="preserve">Ergebnis: </w:t>
      </w:r>
      <w:r>
        <w:t>KHK-assoziierte entzündliche Adipozyten (IAC) und Stromazellen (ISC) identifiziert mit Aktivierung von THBS1-CD36 und SEMA-Signalisierung zu Myokard und Endothel. Konditioniertes Medium aus KHK-Fettgewebe verschlechterte Kardiomyozyten-Kontraktilität und endotheliale Funktion; teilweise durch Rezeptor-Blockade reversibel.</w:t>
      </w:r>
    </w:p>
    <w:p>
      <w:r>
        <w:rPr>
          <w:b/>
          <w:sz w:val="19"/>
        </w:rPr>
        <w:t xml:space="preserve">Übertragbarkeit: </w:t>
      </w:r>
      <w:r>
        <w:rPr>
          <w:sz w:val="19"/>
        </w:rPr>
        <w:t>Deutsche Grundlagenforschung (TUM, Heidelberg), Zeigt Weg zu therapeutischen Targets</w:t>
      </w:r>
    </w:p>
    <w:p>
      <w:r>
        <w:rPr>
          <w:color w:val="5A7D3A"/>
          <w:sz w:val="18"/>
        </w:rPr>
        <w:t>https://pubmed.ncbi.nlm.nih.gov/42834504/</w:t>
      </w:r>
    </w:p>
    <w:p>
      <w:pPr>
        <w:pStyle w:val="Heading2"/>
      </w:pPr>
      <w:r>
        <w:t>EKG-Patch-Ableitungen kalibrieren Vorhofflimmern-Last präzise</w:t>
      </w:r>
    </w:p>
    <w:p>
      <w:r>
        <w:rPr>
          <w:i/>
          <w:color w:val="666666"/>
          <w:sz w:val="18"/>
        </w:rPr>
        <w:t>Tesfamariam M et al.  ·  Heart  ·  01.10.2026  ·  PMID 42823339</w:t>
      </w:r>
    </w:p>
    <w:p>
      <w:r>
        <w:t>Kommentar zur Standardisierung der Vorhofflimmern-Quantifizierung durch tragbare EKG-Geräte und deren Interpretation für klinische Entscheidungen.</w:t>
      </w:r>
    </w:p>
    <w:p>
      <w:r>
        <w:rPr>
          <w:b/>
        </w:rPr>
        <w:t xml:space="preserve">Ergebnis: </w:t>
      </w:r>
      <w:r>
        <w:t>Verlässliche Methode zur Messung der Arrhythmielast etabliert; Vergleichbarkeit von Studienergebnissen und Therapiemonitoring verbessert.</w:t>
      </w:r>
    </w:p>
    <w:p>
      <w:r>
        <w:rPr>
          <w:b/>
          <w:sz w:val="19"/>
        </w:rPr>
        <w:t xml:space="preserve">Übertragbarkeit: </w:t>
      </w:r>
      <w:r>
        <w:rPr>
          <w:sz w:val="19"/>
        </w:rPr>
        <w:t>Europäische Labormethoden, direkt auf deutsches Monitoring übertragbar</w:t>
      </w:r>
    </w:p>
    <w:p>
      <w:r>
        <w:rPr>
          <w:color w:val="5A7D3A"/>
          <w:sz w:val="18"/>
        </w:rPr>
        <w:t>https://pubmed.ncbi.nlm.nih.gov/42823339/</w:t>
      </w:r>
    </w:p>
    <w:p>
      <w:pPr>
        <w:pStyle w:val="Heading2"/>
      </w:pPr>
      <w:r>
        <w:t>TAVI: Komplikationsraten nach VARC-3, Sterblichkeit 10,2% nach 12 Monaten</w:t>
      </w:r>
    </w:p>
    <w:p>
      <w:r>
        <w:rPr>
          <w:i/>
          <w:color w:val="666666"/>
          <w:sz w:val="18"/>
        </w:rPr>
        <w:t>Giacobbe F et al.  ·  J Am Heart Assoc  ·  06.10.2026  ·  PMID 42808440</w:t>
      </w:r>
    </w:p>
    <w:p>
      <w:r>
        <w:t>Metaanalyse von 57 Studien mit 73.588 TAVI-Patienten (Alter 81,7 Jahre, 55,5% erhaltene Ejektionsfraktion) zu Komplikationen und Outcomes nach neuer Klassifikation.</w:t>
      </w:r>
    </w:p>
    <w:p>
      <w:r>
        <w:rPr>
          <w:b/>
        </w:rPr>
        <w:t xml:space="preserve">Ergebnis: </w:t>
      </w:r>
      <w:r>
        <w:t>Technischer und 30-Tage-Erfolg je 95% bzw. 90%; Früh-Sicherheit 66%. Nach 12 Monaten: Sterblichkeit 10,2%, permanenter Schrittmacher 13%, Blutung Typ≥2: 9,7%, akute Nierenschädigung 4,7%, Schlaganfall 3,0%. Niereninsuffizienz, Blutung und Paravalvularregurgitation unabhängig mit höherer Mortalität assoziiert.</w:t>
      </w:r>
    </w:p>
    <w:p>
      <w:r>
        <w:rPr>
          <w:b/>
          <w:sz w:val="19"/>
        </w:rPr>
        <w:t xml:space="preserve">Übertragbarkeit: </w:t>
      </w:r>
      <w:r>
        <w:rPr>
          <w:sz w:val="19"/>
        </w:rPr>
        <w:t>Internationale Daten, deutsches TAVI-Monitoring an VARC-3-Kriterien orientieren</w:t>
      </w:r>
    </w:p>
    <w:p>
      <w:r>
        <w:rPr>
          <w:color w:val="5A7D3A"/>
          <w:sz w:val="18"/>
        </w:rPr>
        <w:t>https://pubmed.ncbi.nlm.nih.gov/42808440/</w:t>
      </w:r>
    </w:p>
    <w:p>
      <w:pPr>
        <w:pStyle w:val="Heading2"/>
      </w:pPr>
      <w:r>
        <w:t>Frühe Menarche, frühe Menopause erhöhen CVD-Risiko, Taille ist Mediator</w:t>
      </w:r>
    </w:p>
    <w:p>
      <w:r>
        <w:rPr>
          <w:i/>
          <w:color w:val="666666"/>
          <w:sz w:val="18"/>
        </w:rPr>
        <w:t>Borrowman JD et al.  ·  J Am Heart Assoc  ·  06.10.2026  ·  PMID 42786622</w:t>
      </w:r>
    </w:p>
    <w:p>
      <w:r>
        <w:t>Prospektive Kohortenstudie (n=119.182 postmenopausale Frauen aus Women's Health Initiative, 12,8 Jahre Follow-up) zur Assoziation von Reproduktionsmerkmalen mit kardiovaskulärer Inzidenz.</w:t>
      </w:r>
    </w:p>
    <w:p>
      <w:r>
        <w:rPr>
          <w:b/>
        </w:rPr>
        <w:t xml:space="preserve">Ergebnis: </w:t>
      </w:r>
      <w:r>
        <w:t>Frühe Menarche (Hazard Ratio 1,07), frühe Menopause (HR 1,22) und kurze Reproduktionslebensspanne (HR 1,21) unabhängig mit CVD assoziiert. 12.731 kardiovaskuläre Ereignisse (10,4 pro 1.000 Personen-Jahre). Taillenumfang war signifikanter Mediator aller drei Assoziationen.</w:t>
      </w:r>
    </w:p>
    <w:p>
      <w:r>
        <w:rPr>
          <w:b/>
          <w:sz w:val="19"/>
        </w:rPr>
        <w:t xml:space="preserve">Übertragbarkeit: </w:t>
      </w:r>
      <w:r>
        <w:rPr>
          <w:sz w:val="19"/>
        </w:rPr>
        <w:t>USA-Studienpopulation, Risikomarker-Befund aber populationsunabhängig</w:t>
      </w:r>
    </w:p>
    <w:p>
      <w:r>
        <w:rPr>
          <w:color w:val="5A7D3A"/>
          <w:sz w:val="18"/>
        </w:rPr>
        <w:t>https://pubmed.ncbi.nlm.nih.gov/42786622/</w:t>
      </w:r>
    </w:p>
    <w:p>
      <w:pPr>
        <w:pStyle w:val="Heading1"/>
      </w:pPr>
      <w:r>
        <w:t>Aufgenommen am 08.10.2026</w:t>
      </w:r>
    </w:p>
    <w:p>
      <w:pPr>
        <w:pStyle w:val="Heading2"/>
      </w:pPr>
      <w:r>
        <w:t>Rivaroxaban bei HCM ohne Vorhofflimmern, aber mit gestörtem links-atrialem Reservoir-Strain: LA-HCM-Studie</w:t>
      </w:r>
    </w:p>
    <w:p>
      <w:r>
        <w:rPr>
          <w:i/>
          <w:color w:val="666666"/>
          <w:sz w:val="18"/>
        </w:rPr>
        <w:t>Donal E et al.  ·  Eur Heart J Cardiovasc Imaging  ·  08.10.2026  ·  PMID 42844166</w:t>
      </w:r>
    </w:p>
    <w:p>
      <w:r>
        <w:t>Prospektive, multizentrische, randomisierte französische Studie in 17 Zentren mit 532 HCM-Patienten im Sinusrhythmus ohne dokumentiertes AF, aber mit eingeschränktem links-atrialem Reservoir-Strain (LARS ≤20%), die untersucht, ob Rivaroxaban thromboembolische Ereignisse reduziert.</w:t>
      </w:r>
    </w:p>
    <w:p>
      <w:r>
        <w:rPr>
          <w:b/>
        </w:rPr>
        <w:t xml:space="preserve">Ergebnis: </w:t>
      </w:r>
      <w:r>
        <w:t>Primärer Endpunkt: Composite aus Gesamtsterblichkeit, Myokardinfarkt, ischämischem Schlaganfall (einschließlich stiller zerebraler Infarkte in MRT) und systemischer Embolie über 24 Monate. Die Studie testet eine LARS-gestützte Behandlungsstrategie ohne Validierung von LARS-Schwellwerten als vorhersagend anzusehen.</w:t>
      </w:r>
    </w:p>
    <w:p>
      <w:r>
        <w:rPr>
          <w:b/>
          <w:sz w:val="19"/>
        </w:rPr>
        <w:t xml:space="preserve">Übertragbarkeit: </w:t>
      </w:r>
      <w:r>
        <w:rPr>
          <w:sz w:val="19"/>
        </w:rPr>
        <w:t>Frankreich, vergleichbar zu deutschem Gesundheitssystem, Design etabliert</w:t>
      </w:r>
    </w:p>
    <w:p>
      <w:r>
        <w:rPr>
          <w:color w:val="5A7D3A"/>
          <w:sz w:val="18"/>
        </w:rPr>
        <w:t>https://pubmed.ncbi.nlm.nih.gov/42844166/</w:t>
      </w:r>
    </w:p>
    <w:p>
      <w:pPr>
        <w:pStyle w:val="Heading2"/>
      </w:pPr>
      <w:r>
        <w:t>Plötzlicher Herztod durch Aortenklappenstenose: 54,5 % ohne vorherige Diagnose</w:t>
      </w:r>
    </w:p>
    <w:p>
      <w:r>
        <w:rPr>
          <w:i/>
          <w:color w:val="666666"/>
          <w:sz w:val="18"/>
        </w:rPr>
        <w:t>Riihiniemi M et al.  ·  Heart  ·  07.10.2026  ·  PMID 42843992</w:t>
      </w:r>
    </w:p>
    <w:p>
      <w:r>
        <w:t>Finnische Autopsie-Studie der Fingesture-Registry mit 5.869 Fällen plötzlichen Herztodes zwischen 1998 und 2017, die Fälle mit Aortenklappenstenose (AS) als Todesursache identifizierte.</w:t>
      </w:r>
    </w:p>
    <w:p>
      <w:r>
        <w:rPr>
          <w:b/>
        </w:rPr>
        <w:t xml:space="preserve">Ergebnis: </w:t>
      </w:r>
      <w:r>
        <w:t>Von 64 Valvulären-Herzkrankheit-Fällen war AS in 68,8 % die Ursache plötzlichen Herztodes (44 von 64). Durchschnittsalter 67,5±12,1 Jahre, 79,5 % männlich. Über die Hälfte (54,5 %) hatte keine vorherige AS-Diagnose. 93,2 % zeigten bei Autopsie Kardiomegalie und Myokardfibrosen. Angina und Dyspnoe vor dem Event waren selten (6,8 % bzw. 4,5 %), was auf silent disease hinweist.</w:t>
      </w:r>
    </w:p>
    <w:p>
      <w:r>
        <w:rPr>
          <w:b/>
          <w:sz w:val="19"/>
        </w:rPr>
        <w:t xml:space="preserve">Übertragbarkeit: </w:t>
      </w:r>
      <w:r>
        <w:rPr>
          <w:sz w:val="19"/>
        </w:rPr>
        <w:t>Europäische Autopsiedaten, vergleichbare Versorgungsstrukturen</w:t>
      </w:r>
    </w:p>
    <w:p>
      <w:r>
        <w:rPr>
          <w:color w:val="5A7D3A"/>
          <w:sz w:val="18"/>
        </w:rPr>
        <w:t>https://pubmed.ncbi.nlm.nih.gov/42843992/</w:t>
      </w:r>
    </w:p>
    <w:p>
      <w:pPr>
        <w:pStyle w:val="Heading2"/>
      </w:pPr>
      <w:r>
        <w:t>LAAC versus Antikoagulation bei Vorhofflimmern: Metaanalyse zeigt Blutungsreduktion, aber numerisch höheres Schlaganfallrisiko</w:t>
      </w:r>
    </w:p>
    <w:p>
      <w:r>
        <w:rPr>
          <w:i/>
          <w:color w:val="666666"/>
          <w:sz w:val="18"/>
        </w:rPr>
        <w:t>Otaal A et al.  ·  Am J Cardiol  ·  07.10.2026  ·  PMID 42843498</w:t>
      </w:r>
    </w:p>
    <w:p>
      <w:r>
        <w:t>Aktualisierte Metaanalyse von 6 randomisierten Studien mit rekonstruierten individuellen Patientendaten (IPD), die Left-Atrial-Appendage-Closure (LAAC) mit oraler Antikoagulation (OAC) bei 7.004 AF-Patienten verglich.</w:t>
      </w:r>
    </w:p>
    <w:p>
      <w:r>
        <w:rPr>
          <w:b/>
        </w:rPr>
        <w:t xml:space="preserve">Ergebnis: </w:t>
      </w:r>
      <w:r>
        <w:t>Primärer Wirksamkeits-Endpunkt (Schlaganfall/systemische Embolie/kardiovaskulärer oder Gesamttod): kein signifikanter Unterschied über 3 Jahre (Δ RMST -0,006 Jahre; 95%-KI -0,027–0,015; p=0,56). Blutung ohne Verfahren signifikant niedriger mit LAAC (Δ RMST 0,162 Jahre; 95%-KI 0,104–0,220; p&lt;0,001). Ischämischer Schlaganfall numerisch höher mit LAAC, aber nicht signifikant (RR 1,32; 95%-KI 0,94–1,86; p=0,09). Ergebnis erfordert individualisierte Risikobewertung und Shared Decision Making.</w:t>
      </w:r>
    </w:p>
    <w:p>
      <w:r>
        <w:rPr>
          <w:b/>
          <w:sz w:val="19"/>
        </w:rPr>
        <w:t xml:space="preserve">Übertragbarkeit: </w:t>
      </w:r>
      <w:r>
        <w:rPr>
          <w:sz w:val="19"/>
        </w:rPr>
        <w:t>USA, Metaanalyse – Sicherheitsbefund übertragbar auf Deutschland</w:t>
      </w:r>
    </w:p>
    <w:p>
      <w:r>
        <w:rPr>
          <w:color w:val="5A7D3A"/>
          <w:sz w:val="18"/>
        </w:rPr>
        <w:t>https://pubmed.ncbi.nlm.nih.gov/42843498/</w:t>
      </w:r>
    </w:p>
    <w:p>
      <w:pPr>
        <w:pStyle w:val="Heading2"/>
      </w:pPr>
      <w:r>
        <w:t>Zentrale Netzhautarterienverschluss als Schlaganfall-Äquivalent: erhöhtes Vorhofflimmern- und Schlaganfallrisiko</w:t>
      </w:r>
    </w:p>
    <w:p>
      <w:r>
        <w:rPr>
          <w:i/>
          <w:color w:val="666666"/>
          <w:sz w:val="18"/>
        </w:rPr>
        <w:t>Gupta P et al.  ·  Clin Res Cardiol  ·  07.10.2026  ·  PMID 42841926</w:t>
      </w:r>
    </w:p>
    <w:p>
      <w:r>
        <w:t>Metaanalyse von 1.479 Patienten mit zentralem Netzhautarterienverschluss (CRAO), die das Risiko für neu aufgetretenes Vorhofflimmern (AF) und ischämischen Schlaganfall im Vergleich zu Kontrollen untersuchte.</w:t>
      </w:r>
    </w:p>
    <w:p>
      <w:r>
        <w:rPr>
          <w:b/>
        </w:rPr>
        <w:t xml:space="preserve">Ergebnis: </w:t>
      </w:r>
      <w:r>
        <w:t>CRAO war assoziiert mit erhöhtem Risiko für Neu-AF (OR 1,47; 95%-KI 1,18–1,83; p=0,0006) und neuem ischämischem Schlaganfall (OR 2,10; 95%-KI 1,57–2,82; p&lt;0,00001). Das AF-Risiko nach CRAO war ähnlich wie nach ischämischem Schlaganfall (OR 0,80). Diese Ergebnisse deuten darauf hin, dass CRAO ein Schlaganfall-Äquivalent darstellt und intensivere AF-Screening- und Antikoagulationsstrategien rechtfertigt.</w:t>
      </w:r>
    </w:p>
    <w:p>
      <w:r>
        <w:rPr>
          <w:b/>
          <w:sz w:val="19"/>
        </w:rPr>
        <w:t xml:space="preserve">Übertragbarkeit: </w:t>
      </w:r>
      <w:r>
        <w:rPr>
          <w:sz w:val="19"/>
        </w:rPr>
        <w:t>Deutsche und europäische Kliniken, Metaanalyse mit etabliertem Design</w:t>
      </w:r>
    </w:p>
    <w:p>
      <w:r>
        <w:rPr>
          <w:color w:val="5A7D3A"/>
          <w:sz w:val="18"/>
        </w:rPr>
        <w:t>https://pubmed.ncbi.nlm.nih.gov/42841926/</w:t>
      </w:r>
    </w:p>
    <w:p>
      <w:pPr>
        <w:pStyle w:val="Heading2"/>
      </w:pPr>
      <w:r>
        <w:t>Lebensstil- und Risikofaktor-Modifikation reduziert AF-Rezidiv nach Ablation um 66 %</w:t>
      </w:r>
    </w:p>
    <w:p>
      <w:r>
        <w:rPr>
          <w:i/>
          <w:color w:val="666666"/>
          <w:sz w:val="18"/>
        </w:rPr>
        <w:t>Zhao Y et al.  ·  Circ Arrhythm Electrophysiol  ·  07.10.2026  ·  PMID 42841215</w:t>
      </w:r>
    </w:p>
    <w:p>
      <w:r>
        <w:t>Systematische Übersicht und Metaanalyse von 11 randomisierten Studien mit 3.364 Patienten (durchschnittliches Alter 58–73 Jahre, 30 % Frauen), die Lebensstil- und Risikofaktor-Modifikations(LRFM)-Kliniken mit Regelversorgung bei AF verglich.</w:t>
      </w:r>
    </w:p>
    <w:p>
      <w:r>
        <w:rPr>
          <w:b/>
        </w:rPr>
        <w:t xml:space="preserve">Ergebnis: </w:t>
      </w:r>
      <w:r>
        <w:t>LRFM-Kliniken reduzierten Arrhythmie-Rezidiv nach Katheter-Ablation signifikant (OR 0,34; 95%-KI 0,23–0,51; p&lt;0,001). AF-bezogene Krankenhauseinweisungen sanken (OR 0,70; 95%-KI 0,51–0,98; p=0,04). Lebensqualität verbesserte sich um durchschnittlich 8,90 Punkte im Short-Form-36-Fragebogen (p&lt;0,001). Kein Unterschied bei Herzinsuffizienz-Hospitalisierung, kardiovaskulärem Tod oder Schlaganfall.</w:t>
      </w:r>
    </w:p>
    <w:p>
      <w:r>
        <w:rPr>
          <w:b/>
          <w:sz w:val="19"/>
        </w:rPr>
        <w:t xml:space="preserve">Übertragbarkeit: </w:t>
      </w:r>
      <w:r>
        <w:rPr>
          <w:sz w:val="19"/>
        </w:rPr>
        <w:t>Australien, vergleichbare Versorgungsmodelle, multidisziplinärer Ansatz</w:t>
      </w:r>
    </w:p>
    <w:p>
      <w:r>
        <w:rPr>
          <w:color w:val="5A7D3A"/>
          <w:sz w:val="18"/>
        </w:rPr>
        <w:t>https://pubmed.ncbi.nlm.nih.gov/42841215/</w:t>
      </w:r>
    </w:p>
    <w:p>
      <w:pPr>
        <w:pStyle w:val="Heading2"/>
      </w:pPr>
      <w:r>
        <w:t>Leitungssystem- vs. biventrikuläre Stimulation nach AV-Knoten-Ablation bei AF und Herzinsuffizienz: CONDUCT-AF-Studie</w:t>
      </w:r>
    </w:p>
    <w:p>
      <w:r>
        <w:rPr>
          <w:i/>
          <w:color w:val="666666"/>
          <w:sz w:val="18"/>
        </w:rPr>
        <w:t>Žižek D et al.  ·  Eur Heart J  ·  06.10.2026  ·  PMID 42834810</w:t>
      </w:r>
    </w:p>
    <w:p>
      <w:r>
        <w:t>Europäische, multizentrische, randomisierte Studie in 10 Zentren mit 82 Patienten mit refraktärem AF, Herzinsuffizienz (LVEF &lt;50 %) und engem QRS (≤120 ms), die Conduction-System-Pacing (CSP) mit linker Bündel-Branch-Area-Stimulation versus biventrikulärer Stimulation (BVP) nach AV-Knoten-Ablation verglich.</w:t>
      </w:r>
    </w:p>
    <w:p>
      <w:r>
        <w:rPr>
          <w:b/>
        </w:rPr>
        <w:t xml:space="preserve">Ergebnis: </w:t>
      </w:r>
      <w:r>
        <w:t>Primärer Endpunkt (LVEF-Änderung nach 6 Monaten): CSP-Gruppe von 36 % (95%-KI 33–39) auf 46 % (95%-KI 44–49; p&lt;0,001) vs. BVP von 34 % (95%-KI 31–36) auf 46 % (95%-KI 43–49; p&lt;0,001). Differenz zwischen Gruppen 0,4 % (95%-KI -3,1–3,8; p=0,002 für Nicht-Inferiorität bestätigt). CSP verkürzte paced QRS um 14 ms und Prozedur-/Fluoroskopizeit signifikant. Vergleichbare Effekte auf LV-Volumen und klinische Parameter.</w:t>
      </w:r>
    </w:p>
    <w:p>
      <w:r>
        <w:rPr>
          <w:b/>
          <w:sz w:val="19"/>
        </w:rPr>
        <w:t xml:space="preserve">Übertragbarkeit: </w:t>
      </w:r>
      <w:r>
        <w:rPr>
          <w:sz w:val="19"/>
        </w:rPr>
        <w:t>10 europäische Zentren (Slowenien, Rumänien, Kroatien, Ungarn, Bulgarien, Belgien), vergleichbar zu deutschem System</w:t>
      </w:r>
    </w:p>
    <w:p>
      <w:r>
        <w:rPr>
          <w:color w:val="5A7D3A"/>
          <w:sz w:val="18"/>
        </w:rPr>
        <w:t>https://pubmed.ncbi.nlm.nih.gov/42834810/</w:t>
      </w:r>
    </w:p>
    <w:p>
      <w:pPr>
        <w:pStyle w:val="Heading1"/>
      </w:pPr>
      <w:r>
        <w:t>Aufgenommen am 07.10.2026</w:t>
      </w:r>
    </w:p>
    <w:p>
      <w:pPr>
        <w:pStyle w:val="Heading2"/>
      </w:pPr>
      <w:r>
        <w:t>Flecainid konvertiert paroxysmales Vorhofflimmern bei KHK rascher als Amiodaron ohne Proarrhythmie</w:t>
      </w:r>
    </w:p>
    <w:p>
      <w:r>
        <w:rPr>
          <w:i/>
          <w:color w:val="666666"/>
          <w:sz w:val="18"/>
        </w:rPr>
        <w:t>Tsioufis PA et al.  ·  Heart Rhythm  ·  06.10.2026  ·  PMID 42838320</w:t>
      </w:r>
    </w:p>
    <w:p>
      <w:r>
        <w:t>Randomisierte, offene Multizenterstudie mit 87 Patienten mit paroxysmales Vorhofflimmern und dokumentierter KHK ohne Restischämie: Vergleich intravenöser Flecainid vs. Amiodaron zur akuten Kardioversion in der Notaufnahme.</w:t>
      </w:r>
    </w:p>
    <w:p>
      <w:r>
        <w:rPr>
          <w:b/>
        </w:rPr>
        <w:t xml:space="preserve">Ergebnis: </w:t>
      </w:r>
      <w:r>
        <w:t>Konversion zu Sinusrhythmus innerhalb 6 Stunden: Flecainid 85,7 % vs. Amiodaron 40,0 % (p&lt;0,001). Mediane Konversionszeit: 20 Min. vs. 244 Min. (p&lt;0,001). Krankenhausaufnahme: 14,3 % vs. 60,0 % (p&lt;0,001). Keine ventrikulären Proarrhythmien über 24 Stunden in beiden Gruppen, kein Tod bis 30 Tage. Hypothese-generierende Evidenz gegen die bisherige KHK-Kontraindikation bei fehlender Restischämie.</w:t>
      </w:r>
    </w:p>
    <w:p>
      <w:r>
        <w:rPr>
          <w:b/>
          <w:sz w:val="19"/>
        </w:rPr>
        <w:t xml:space="preserve">Übertragbarkeit: </w:t>
      </w:r>
      <w:r>
        <w:rPr>
          <w:sz w:val="19"/>
        </w:rPr>
        <w:t>Griechische akademische Studie, mediterrane KHK-Population; Sicherheitsbefund übertragbar, Dosierungskonzept dem deutschen Versorgungsalltag angepasst.</w:t>
      </w:r>
    </w:p>
    <w:p>
      <w:r>
        <w:rPr>
          <w:color w:val="5A7D3A"/>
          <w:sz w:val="18"/>
        </w:rPr>
        <w:t>https://pubmed.ncbi.nlm.nih.gov/42838320/</w:t>
      </w:r>
    </w:p>
    <w:p>
      <w:pPr>
        <w:pStyle w:val="Heading2"/>
      </w:pPr>
      <w:r>
        <w:t>Sirolimus-Ballons bei hochblutungsrisiko-Patienten: geringere Target-Vessel-Failure-Rate als Drug-Eluting-Stents</w:t>
      </w:r>
    </w:p>
    <w:p>
      <w:r>
        <w:rPr>
          <w:i/>
          <w:color w:val="666666"/>
          <w:sz w:val="18"/>
        </w:rPr>
        <w:t>Rissanen TT et al.  ·  EuroIntervention  ·  05.10.2026  ·  PMID 42837205</w:t>
      </w:r>
    </w:p>
    <w:p>
      <w:r>
        <w:t>Substudie der SELUTION-DeNovo-Studie verglich bei 522 Hochrisiko-Patienten die Strategie Sirolimus-eluierende Ballons (mit fakultativem Stenting) gegen systematische Drug-Eluting-Stents.</w:t>
      </w:r>
    </w:p>
    <w:p>
      <w:r>
        <w:rPr>
          <w:b/>
        </w:rPr>
        <w:t xml:space="preserve">Ergebnis: </w:t>
      </w:r>
      <w:r>
        <w:t>Target Vessel Failure nach 1 Jahr in der Ballon-Gruppe 4,9 % vs. DES-Gruppe 7,9 % (absolute Risikodifferenz −3,05 %, 95%-KI: −7,27–1,17). Schwere Blutungen (BARC 3-5): 2,3 % vs. 3,2 %. Alle Antiplatelet-Medikation wurde in 27,8 % der Ballon-Gruppe vs. 14,9 % der DES-Gruppe nach 6 Monaten pausiert. Eine sichere Alternative zu systematischem Stenting bei ausgewählten Hochrisiko-Patienten.</w:t>
      </w:r>
    </w:p>
    <w:p>
      <w:r>
        <w:rPr>
          <w:b/>
          <w:sz w:val="19"/>
        </w:rPr>
        <w:t xml:space="preserve">Übertragbarkeit: </w:t>
      </w:r>
      <w:r>
        <w:rPr>
          <w:sz w:val="19"/>
        </w:rPr>
        <w:t>Europäische Multizenterstudie, vergleichbare Versorgungssysteme, hohe Übertragbarkeit auf deutsche Praxis.</w:t>
      </w:r>
    </w:p>
    <w:p>
      <w:r>
        <w:rPr>
          <w:color w:val="5A7D3A"/>
          <w:sz w:val="18"/>
        </w:rPr>
        <w:t>https://pubmed.ncbi.nlm.nih.gov/42837205/</w:t>
      </w:r>
    </w:p>
    <w:p>
      <w:pPr>
        <w:pStyle w:val="Heading2"/>
      </w:pPr>
      <w:r>
        <w:t>SYNTAX-Score und mikroaxiales Pumpen-Support bei kardiogenem Schock: komplexe Koronararterien verschlechtern Prognose</w:t>
      </w:r>
    </w:p>
    <w:p>
      <w:r>
        <w:rPr>
          <w:i/>
          <w:color w:val="666666"/>
          <w:sz w:val="18"/>
        </w:rPr>
        <w:t>Marquard JM et al.  ·  EuroIntervention  ·  05.10.2026  ·  PMID 42837204</w:t>
      </w:r>
    </w:p>
    <w:p>
      <w:r>
        <w:t>Sekundäranalyse der DanGer-Shock-Studie mit 256 Patienten mit Mehrgefäßerkrankung und infarktbedingtem kardiogenem Schock zur prognostischen Bedeutung des SYNTAX-Scores und Effekt der mechanischen Unterstützung.</w:t>
      </w:r>
    </w:p>
    <w:p>
      <w:r>
        <w:rPr>
          <w:b/>
        </w:rPr>
        <w:t xml:space="preserve">Ergebnis: </w:t>
      </w:r>
      <w:r>
        <w:t>Hoher Baseline-SYNTAX-Score (&gt;32) assoziiert mit erhöhtem Odds Ratio für 180-Tage-Mortalität: 3,12 (95%-KI: 1,17–8,69) verglichen mit niedrigem Score. Residualer SYNTAX-Score unabhängiger Mortalitätsprädiktor. Bei isolierter Linkshauptsstamm-Läsion zeigte mikroaxiales Pumpen-Support-System Vorteil (adjustiertes OR 0,17, 95%-KI: 0,03–0,99).</w:t>
      </w:r>
    </w:p>
    <w:p>
      <w:r>
        <w:rPr>
          <w:b/>
          <w:sz w:val="19"/>
        </w:rPr>
        <w:t xml:space="preserve">Übertragbarkeit: </w:t>
      </w:r>
      <w:r>
        <w:rPr>
          <w:sz w:val="19"/>
        </w:rPr>
        <w:t>Dänisch-deutsches Multizentrenkonsortium, vergleichbare europäische Strukturen und Ressourcen.</w:t>
      </w:r>
    </w:p>
    <w:p>
      <w:r>
        <w:rPr>
          <w:color w:val="5A7D3A"/>
          <w:sz w:val="18"/>
        </w:rPr>
        <w:t>https://pubmed.ncbi.nlm.nih.gov/42837204/</w:t>
      </w:r>
    </w:p>
    <w:p>
      <w:pPr>
        <w:pStyle w:val="Heading2"/>
      </w:pPr>
      <w:r>
        <w:t>Standardisierte Erfolgsbeurteilung nach PCI identifiziert 12 % zusätzliche Hochrisiko-Läsionen</w:t>
      </w:r>
    </w:p>
    <w:p>
      <w:r>
        <w:rPr>
          <w:i/>
          <w:color w:val="666666"/>
          <w:sz w:val="18"/>
        </w:rPr>
        <w:t>Oshima A et al.  ·  EuroIntervention  ·  05.10.2026  ·  PMID 42837202</w:t>
      </w:r>
    </w:p>
    <w:p>
      <w:r>
        <w:t>Prospektive Analyse von 1.548 Patienten mit Dreigefäßerkrankung: Vergleich visueller Erfolgsbeurteilung durch Operateur versus standardisierte quantitative Koronarangiographie (QCA) und angio-FFR durch Core Lab.</w:t>
      </w:r>
    </w:p>
    <w:p>
      <w:r>
        <w:rPr>
          <w:b/>
        </w:rPr>
        <w:t xml:space="preserve">Ergebnis: </w:t>
      </w:r>
      <w:r>
        <w:t>Operator-bewerteter Device-Erfolg 97,4 %, aber Core-Lab-QCA nur 88,0 %, kombiniert QCA+angio-FFR 83,2 %. Läsionen ohne QCA-basierter Erfolgskriterien hatten höhere Lesion-Oriented-Composite-Endpoint-Rate nach 1 Jahr (12,0 % vs. 9,1 %, p=0,041). Standardisierte Kernlab-Bewertung reklassifiziert erheblichen Anteil visueller Erfolge und identifiziert Hochrisiko-Läsionen.</w:t>
      </w:r>
    </w:p>
    <w:p>
      <w:r>
        <w:rPr>
          <w:b/>
          <w:sz w:val="19"/>
        </w:rPr>
        <w:t xml:space="preserve">Übertragbarkeit: </w:t>
      </w:r>
      <w:r>
        <w:rPr>
          <w:sz w:val="19"/>
        </w:rPr>
        <w:t>Europäische Multizenterstudie mit standardisiertem Kernlab-Protokoll, hohe Übertragbarkeit auf deutsche Interventionszentren.</w:t>
      </w:r>
    </w:p>
    <w:p>
      <w:r>
        <w:rPr>
          <w:color w:val="5A7D3A"/>
          <w:sz w:val="18"/>
        </w:rPr>
        <w:t>https://pubmed.ncbi.nlm.nih.gov/42837202/</w:t>
      </w:r>
    </w:p>
    <w:p>
      <w:pPr>
        <w:pStyle w:val="Heading2"/>
      </w:pPr>
      <w:r>
        <w:t>Herzinsuffizienz-Patienten erreichen Intensivtraining-Ziele nicht; nur intensive Aktivität senkt NT-proBNP um 0,19 pg/ml pro Trainingsminute</w:t>
      </w:r>
    </w:p>
    <w:p>
      <w:r>
        <w:rPr>
          <w:i/>
          <w:color w:val="666666"/>
          <w:sz w:val="18"/>
        </w:rPr>
        <w:t>Leps C et al.  ·  ESC Heart Fail  ·  27.08.2026  ·  PMID 42836328</w:t>
      </w:r>
    </w:p>
    <w:p>
      <w:r>
        <w:t>Prospektive Beobachtungsstudie mit 156 Herzinsuffizienz-Patienten (NYHA I und II/III), die 12 Monate lang mit multisensorischem Activity Tracker kontinuierlich überwacht wurden, um Zusammenhänge zwischen Bewegungsumfang, Intensität und kardiovaskulären Outcomes zu klären.</w:t>
      </w:r>
    </w:p>
    <w:p>
      <w:r>
        <w:rPr>
          <w:b/>
        </w:rPr>
        <w:t xml:space="preserve">Ergebnis: </w:t>
      </w:r>
      <w:r>
        <w:t>Median wöchentliche moderate körperliche Aktivität (MPA) nur 225 Min. (NYHA I) bzw. 167 Min. (NYHA II/III); intensive Aktivität (VPA) nur 17 bzw. 9 Min./Woche. VPA positiv assoziiert mit maximaler Sauerstoffaufnahme (β=3,815, 95%-KI [1,43–10,19], p=0,008). MPA invers mit NT-proBNP assoziiert (β=−0,189, 95%-KI [−0,353–−0,025], p=0,024). Tägliche Schritte positiv mit VO₂max (β=0,545, p&lt;0,001), invers mit Fettmasse (β=−1,058, p&lt;0,001) und CRP (β=−0,057, p=0,005).</w:t>
      </w:r>
    </w:p>
    <w:p>
      <w:r>
        <w:rPr>
          <w:b/>
          <w:sz w:val="19"/>
        </w:rPr>
        <w:t xml:space="preserve">Übertragbarkeit: </w:t>
      </w:r>
      <w:r>
        <w:rPr>
          <w:sz w:val="19"/>
        </w:rPr>
        <w:t>Deutsche Multizenterstudie mit etablierten deutschen Rehabilitations-Zentren, direkt anwendbar auf deutsche Trainingsprogramme.</w:t>
      </w:r>
    </w:p>
    <w:p>
      <w:r>
        <w:rPr>
          <w:color w:val="5A7D3A"/>
          <w:sz w:val="18"/>
        </w:rPr>
        <w:t>https://pubmed.ncbi.nlm.nih.gov/42836328/</w:t>
      </w:r>
    </w:p>
    <w:p>
      <w:pPr>
        <w:pStyle w:val="Heading2"/>
      </w:pPr>
      <w:r>
        <w:t>Pflege-gesteuerte Titration von Herzinsuffizienz-Therapien: Implementierungs-Roadmap aus Italien</w:t>
      </w:r>
    </w:p>
    <w:p>
      <w:r>
        <w:rPr>
          <w:i/>
          <w:color w:val="666666"/>
          <w:sz w:val="18"/>
        </w:rPr>
        <w:t>Gori M et al.  ·  ESC Heart Fail  ·  27.08.2026  ·  PMID 42836327</w:t>
      </w:r>
    </w:p>
    <w:p>
      <w:r>
        <w:t>Narrative Analyse zur praktischen Umsetzung nurse-led Titration von Guideline-Directed Medical Therapy (GDMT) in Italien und anderen europäischen Ländern; Beschreibung von Voraussetzungen, medizin-rechtliche Aspekte und operationales Flussdiagramm für die Implementierung.</w:t>
      </w:r>
    </w:p>
    <w:p>
      <w:r>
        <w:rPr>
          <w:b/>
        </w:rPr>
        <w:t xml:space="preserve">Ergebnis: </w:t>
      </w:r>
      <w:r>
        <w:t>Hauptvoraussetzungen sind dedizierte Schulung und standardisierte Management-Protokolle. Detaillierte ärztliche Verordnungen notwendig, die für jeden Patienten Timing, Methode und resultierende Maßnahmen spezifizieren. Multi-professionelle Strategie mit Pflege-gesteuerte GDMT-Titration empfohlen als Weg zur Verbesserung der Leitlinien-Umsetzung in der Routinepraxis. In Italien und vielen europäischen Ländern noch nicht Standard.</w:t>
      </w:r>
    </w:p>
    <w:p>
      <w:r>
        <w:rPr>
          <w:b/>
          <w:sz w:val="19"/>
        </w:rPr>
        <w:t xml:space="preserve">Übertragbarkeit: </w:t>
      </w:r>
      <w:r>
        <w:rPr>
          <w:sz w:val="19"/>
        </w:rPr>
        <w:t>Italienische Konsensusarbeit mit europäischen Zentren, unmittelbare Relevanz für deutsche Versorgungsstrukturen und DMP.</w:t>
      </w:r>
    </w:p>
    <w:p>
      <w:r>
        <w:rPr>
          <w:color w:val="5A7D3A"/>
          <w:sz w:val="18"/>
        </w:rPr>
        <w:t>https://pubmed.ncbi.nlm.nih.gov/42836327/</w:t>
      </w:r>
    </w:p>
    <w:p>
      <w:pPr>
        <w:pStyle w:val="Heading1"/>
      </w:pPr>
      <w:r>
        <w:t>Aufgenommen am 06.10.2026</w:t>
      </w:r>
    </w:p>
    <w:p>
      <w:pPr>
        <w:pStyle w:val="Heading2"/>
      </w:pPr>
      <w:r>
        <w:t>Häufig übersehene Warnsymptome vor plötzlichem Herzstillstand bei Kindern</w:t>
      </w:r>
    </w:p>
    <w:p>
      <w:r>
        <w:rPr>
          <w:i/>
          <w:color w:val="666666"/>
          <w:sz w:val="18"/>
        </w:rPr>
        <w:t>Tollit J et al.  ·  Open Heart  ·  05.10.2026  ·  PMID 42833702</w:t>
      </w:r>
    </w:p>
    <w:p>
      <w:r>
        <w:t>Retrospektive Analyse von 58 Kindern mit überlebtem außerklinischem Herzstillstand ohne bekannte kardiale Vordiagnose in einem britischen Spezialistenzen­trum (1996–2025); Erfassung von Symptomen vor dem Ereignis.</w:t>
      </w:r>
    </w:p>
    <w:p>
      <w:r>
        <w:rPr>
          <w:b/>
        </w:rPr>
        <w:t xml:space="preserve">Ergebnis: </w:t>
      </w:r>
      <w:r>
        <w:t>50,9 % (28/58) hatten kardiale Warnsymptome vor dem Herzstillstand, davon 23,6 % (13/58) mit Synkopen; von diesen 13 Synkopen-Patienten suchten nur 3 ärztliche Hilfe auf. Nach Herzstillstand wurde bei 72,4 % (42/58) eine vererbte Herzerkrankung diagnostiziert, am häufigsten hypertrophe Kardiomyopathie (29,8 %). Potenzielle Chancen zur Früherkennung wurden überwiegend verpasst.</w:t>
      </w:r>
    </w:p>
    <w:p>
      <w:r>
        <w:rPr>
          <w:b/>
          <w:sz w:val="19"/>
        </w:rPr>
        <w:t xml:space="preserve">Übertragbarkeit: </w:t>
      </w:r>
      <w:r>
        <w:rPr>
          <w:sz w:val="19"/>
        </w:rPr>
        <w:t>UK-Spezialzentrum; Struktur der Primärversorgung und Triage in Deutschland vergleichbar.</w:t>
      </w:r>
    </w:p>
    <w:p>
      <w:r>
        <w:rPr>
          <w:color w:val="5A7D3A"/>
          <w:sz w:val="18"/>
        </w:rPr>
        <w:t>https://pubmed.ncbi.nlm.nih.gov/42833702/</w:t>
      </w:r>
    </w:p>
    <w:p>
      <w:pPr>
        <w:pStyle w:val="Heading2"/>
      </w:pPr>
      <w:r>
        <w:t>Entzündung ohne Ödem deutet auf Vernarbung bei tuberkulöser Perikarditis hin</w:t>
      </w:r>
    </w:p>
    <w:p>
      <w:r>
        <w:rPr>
          <w:i/>
          <w:color w:val="666666"/>
          <w:sz w:val="18"/>
        </w:rPr>
        <w:t>Giliomee LJ et al.  ·  Open Heart  ·  05.10.2026  ·  PMID 42833701</w:t>
      </w:r>
    </w:p>
    <w:p>
      <w:r>
        <w:t>Prospektive Kohortenstudie mit Baseline- und 6-Monats-Kardio-MRT bei tuberkulöser Perikarditis (Südafrika); Untersuchung, wie Entzündungsmarker und Ödem die Vorhersage einer Perikardverfestigung verbessern.</w:t>
      </w:r>
    </w:p>
    <w:p>
      <w:r>
        <w:rPr>
          <w:b/>
        </w:rPr>
        <w:t xml:space="preserve">Ergebnis: </w:t>
      </w:r>
      <w:r>
        <w:t>Von 633 ödematösen Segmenten zeigten 20,7 % Versteifung bei Follow-up, von 267 nicht-ödematösen Segmenten 51,7 % (p&lt;0,001). Höhere Baseline-Entzündungslast war unabhängig mit Versteifung assoziiert (OR 1,32 pro SD-Anstieg, 95%-KI 1,12–1,55; p=0,0011); Baseline-Ödem war protektiv (OR 0,29, 95%-KI 0,20–0,43; p&lt;0,001). Interpretation: Ödem spiegelt akute reversible, intensive Entzündung ohne Ödem eher fibroseanfällige Phänotypen wider.</w:t>
      </w:r>
    </w:p>
    <w:p>
      <w:r>
        <w:rPr>
          <w:b/>
          <w:sz w:val="19"/>
        </w:rPr>
        <w:t xml:space="preserve">Übertragbarkeit: </w:t>
      </w:r>
      <w:r>
        <w:rPr>
          <w:sz w:val="19"/>
        </w:rPr>
        <w:t>Südafrika-Spezialistenzen­trum; Mechanismus der Fibroseentwicklung grundlagenrelevant, Übertragbarkeit auf TB-Epidemiologie Europas begrenzt.</w:t>
      </w:r>
    </w:p>
    <w:p>
      <w:r>
        <w:rPr>
          <w:color w:val="5A7D3A"/>
          <w:sz w:val="18"/>
        </w:rPr>
        <w:t>https://pubmed.ncbi.nlm.nih.gov/42833701/</w:t>
      </w:r>
    </w:p>
    <w:p>
      <w:pPr>
        <w:pStyle w:val="Heading2"/>
      </w:pPr>
      <w:r>
        <w:t>Lebenserwartung kein Kriterium: Alter allein rechtfertigt Verzicht auf Aortenklappenersatz</w:t>
      </w:r>
    </w:p>
    <w:p>
      <w:r>
        <w:rPr>
          <w:i/>
          <w:color w:val="666666"/>
          <w:sz w:val="18"/>
        </w:rPr>
        <w:t>Demir OM et al.  ·  Open Heart  ·  05.10.2026  ·  PMID 42833700</w:t>
      </w:r>
    </w:p>
    <w:p>
      <w:r>
        <w:t>Konzeptionelle Analyse zur Fehlinterpretation der Lebenserwartung bei Entscheidungen über Aortenklappenintervention im höheren Alter; Darlegung, warum Alter kein valider Proxy für Futilität ist.</w:t>
      </w:r>
    </w:p>
    <w:p>
      <w:r>
        <w:rPr>
          <w:b/>
        </w:rPr>
        <w:t xml:space="preserve">Ergebnis: </w:t>
      </w:r>
      <w:r>
        <w:t>Life Expectancy bei Geburt ist Populationsmittelwert, nicht individuelle Obergrenze. Ein 90-Jähriger in England/Wales hat noch durchschnittlich 3,9 Jahre Lebenserwartung; ein durchschnittlicher 82-Jähriger wird älter als ein 72-Jähriger. Wer die Durchschnittserwartung übertroffen hat, gehört zu langlebigeren Stratum und könnte am meisten von dauerhafter Klappe profitieren. Futilität ist real (fortgeschrittene Herzschäden, Gebrechlichkeit, dominante Komorbiditäten), aber Alter ist ungenauer Proxy. Empfehlung: Altersbasierte Nihilismus ersetzen durch Stadium-, Schadensausmaß- und Komorbiditäts-adjustierte Prognose mit explizit dokumentiertem erwarteten Nutzen im Shared Decision-Making.</w:t>
      </w:r>
    </w:p>
    <w:p>
      <w:r>
        <w:rPr>
          <w:b/>
          <w:sz w:val="19"/>
        </w:rPr>
        <w:t xml:space="preserve">Übertragbarkeit: </w:t>
      </w:r>
      <w:r>
        <w:rPr>
          <w:sz w:val="19"/>
        </w:rPr>
        <w:t>Britischer Fachdiskurs; Konzept auf deutsche Klappen-DMP und TAVI-Indikation übertragbar.</w:t>
      </w:r>
    </w:p>
    <w:p>
      <w:r>
        <w:rPr>
          <w:color w:val="5A7D3A"/>
          <w:sz w:val="18"/>
        </w:rPr>
        <w:t>https://pubmed.ncbi.nlm.nih.gov/42833700/</w:t>
      </w:r>
    </w:p>
    <w:p>
      <w:pPr>
        <w:pStyle w:val="Heading2"/>
      </w:pPr>
      <w:r>
        <w:t>Vorhofflimmern nach Schlaganfall: Phänotypisierung für gezieltes Screening</w:t>
      </w:r>
    </w:p>
    <w:p>
      <w:r>
        <w:rPr>
          <w:i/>
          <w:color w:val="666666"/>
          <w:sz w:val="18"/>
        </w:rPr>
        <w:t>van Kempen EJ et al.  ·  Open Heart  ·  05.10.2026  ·  PMID 42833699</w:t>
      </w:r>
    </w:p>
    <w:p>
      <w:r>
        <w:t>Retrospektive Kohortenstudie von 1836 Schlaganfall-Patienten in den Niederlanden (Jan 2019–Okt 2024); Charakterisierung von Patienten mit neu detektiertem oder bekanntem Vorhofflimmern und zugehörigen Risikofaktoren.</w:t>
      </w:r>
    </w:p>
    <w:p>
      <w:r>
        <w:rPr>
          <w:b/>
        </w:rPr>
        <w:t xml:space="preserve">Ergebnis: </w:t>
      </w:r>
      <w:r>
        <w:t>Vorhofflimmern lag bei 30,5 % vor: 19,7 % bekannt, 10,8 % neu diagnostiziert. Ein Machine-Learning-Phänotyp (generative topographic mapping) mit älterem Alter, schwerer Schlaganfall, Schlaganfall-Vorgeschichte, Hypertonie, Diabetes, hoher kardialer Last (KHK, Herzklappenfehler, Herzinsuffizienz), reduzierter Nierenfunktion und Zeichen der Vorhofumgestaltung zeigte 47,9 % AF-Prävalenz. Schweregrad, kardiale Last und Vorhofumgestaltung waren stärkste Prädiktoren.</w:t>
      </w:r>
    </w:p>
    <w:p>
      <w:r>
        <w:rPr>
          <w:b/>
          <w:sz w:val="19"/>
        </w:rPr>
        <w:t xml:space="preserve">Übertragbarkeit: </w:t>
      </w:r>
      <w:r>
        <w:rPr>
          <w:sz w:val="19"/>
        </w:rPr>
        <w:t>Niederländische Universitätsklinik, vergleichbares Sozialversicherungssystem und Dokumentation.</w:t>
      </w:r>
    </w:p>
    <w:p>
      <w:r>
        <w:rPr>
          <w:color w:val="5A7D3A"/>
          <w:sz w:val="18"/>
        </w:rPr>
        <w:t>https://pubmed.ncbi.nlm.nih.gov/42833699/</w:t>
      </w:r>
    </w:p>
    <w:p>
      <w:pPr>
        <w:pStyle w:val="Heading2"/>
      </w:pPr>
      <w:r>
        <w:t>Sterblichkeitsmuster und Prädiktoren bei Herzinsuffizienz in Thailand</w:t>
      </w:r>
    </w:p>
    <w:p>
      <w:r>
        <w:rPr>
          <w:i/>
          <w:color w:val="666666"/>
          <w:sz w:val="18"/>
        </w:rPr>
        <w:t>Yingchoncharoen T et al.  ·  Open Heart  ·  05.10.2026  ·  PMID 42833698</w:t>
      </w:r>
    </w:p>
    <w:p>
      <w:r>
        <w:t>Prospektive Kohortenstudie von 2879 Herzinsuffizienz-Patienten aus dem Thai Heart Failure Registry (Jan 2021–Dez 2023); Erfassung von Todesursachen und Mortalitätsprädiktoren.</w:t>
      </w:r>
    </w:p>
    <w:p>
      <w:r>
        <w:rPr>
          <w:b/>
        </w:rPr>
        <w:t xml:space="preserve">Ergebnis: </w:t>
      </w:r>
      <w:r>
        <w:t>Über 23 Monate: 301 Todesfälle (10,5 %), Inzidenzrate 6,8/100 Personen-Jahre. Kardiovaskulär 49,5 % (149), nicht-kardiovaskulär 38,5 % (116), ungeklärt 12,0 % (36). Bei HFrEF/HFmrEF überwog kardiovaskuläre Mortalität (5,3 % vs. 3,9 %), bei HFpEF nicht-kardiovaskulär höher (5,5 % vs. 4,1 %, besonders Sepsis). Unabhängige Mortalitätsprädiktoren: ischämische Ätiologie (HR 1,34; 95%-KI 1,06–1,69), Vorhofflimmern (HR 1,57; 1,24–2,00), periphere Ödeme (HR 2,11; 1,57–2,85), Hyponatriämie (HR 1,83; 1,39–2,39), Hypokaliämie (HR 1,44; 1,06–1,95), erhöhtes Harnstoff-Stickstoff (HR 1,56; 1,23–1,98), Schleifen-Diuretika (HR 1,61; 1,21–2,14). Gute Therapieadhärenz assoziiert mit niedrigerer Mortalität.</w:t>
      </w:r>
    </w:p>
    <w:p>
      <w:r>
        <w:rPr>
          <w:b/>
          <w:sz w:val="19"/>
        </w:rPr>
        <w:t xml:space="preserve">Übertragbarkeit: </w:t>
      </w:r>
      <w:r>
        <w:rPr>
          <w:sz w:val="19"/>
        </w:rPr>
        <w:t>Thailand-Register mit breiter Abdeckung; Befunde zu Elektrolytstörungen und Diuretika-Nutzen international übertragbar.</w:t>
      </w:r>
    </w:p>
    <w:p>
      <w:r>
        <w:rPr>
          <w:color w:val="5A7D3A"/>
          <w:sz w:val="18"/>
        </w:rPr>
        <w:t>https://pubmed.ncbi.nlm.nih.gov/42833698/</w:t>
      </w:r>
    </w:p>
    <w:p>
      <w:pPr>
        <w:pStyle w:val="Heading1"/>
      </w:pPr>
      <w:r>
        <w:t>Aufgenommen am 05.10.2026</w:t>
      </w:r>
    </w:p>
    <w:p>
      <w:pPr>
        <w:pStyle w:val="Heading2"/>
      </w:pPr>
      <w:r>
        <w:t>Linksatrialer Verschluss bei Krebspatienten mit Vorhofflimmern: höhere Mortalität, gleiche Schlaganfall-/Blutungsrate</w:t>
      </w:r>
    </w:p>
    <w:p>
      <w:r>
        <w:rPr>
          <w:i/>
          <w:color w:val="666666"/>
          <w:sz w:val="18"/>
        </w:rPr>
        <w:t>Afonso LM et al.  ·  Am J Cardiol  ·  04.10.2026  ·  PMID 42830154</w:t>
      </w:r>
    </w:p>
    <w:p>
      <w:r>
        <w:t>Systematische Übersichtsarbeit und aktualisierte Metaanalyse: 9 Studien mit 209.325 Patienten, davon 39,3% Frauen, Alter 77 Jahre, zur Sicherheit und Wirksamkeit des linksatrialen Appendage Occlusion (LAAO) bei Krebspatienten mit Vorhofflimmern.</w:t>
      </w:r>
    </w:p>
    <w:p>
      <w:r>
        <w:rPr>
          <w:b/>
        </w:rPr>
        <w:t xml:space="preserve">Ergebnis: </w:t>
      </w:r>
      <w:r>
        <w:t>Krebs assoziiert mit höherer Langzeit-Gesamtmortalität (HR 1,64, 95%-KI 1,20–2,23; p=0,002). Kein signifikanter Unterschied bei Schlaganfall (HR 0,59, 95%-KI 0,30–1,15; p=0,12) oder Blutung (HR 1,02, 95%-KI 0,57–1,83; p=0,94). Kein Unterschied zwischen aktuellem und prior Krebs (p=0,146).</w:t>
      </w:r>
    </w:p>
    <w:p>
      <w:r>
        <w:rPr>
          <w:b/>
          <w:sz w:val="19"/>
        </w:rPr>
        <w:t xml:space="preserve">Übertragbarkeit: </w:t>
      </w:r>
      <w:r>
        <w:rPr>
          <w:sz w:val="19"/>
        </w:rPr>
        <w:t>Internationale Kohorten, Befund zur Mortalität systemunabhängig, Indikationsabwägung für deutsche Zentren relevant</w:t>
      </w:r>
    </w:p>
    <w:p>
      <w:r>
        <w:rPr>
          <w:color w:val="5A7D3A"/>
          <w:sz w:val="18"/>
        </w:rPr>
        <w:t>https://pubmed.ncbi.nlm.nih.gov/42830154/</w:t>
      </w:r>
    </w:p>
    <w:p>
      <w:pPr>
        <w:pStyle w:val="Heading2"/>
      </w:pPr>
      <w:r>
        <w:t>Osaka Prognostic Score sagt paroxysmals Vorhofflimmern voraus: OR 3,37</w:t>
      </w:r>
    </w:p>
    <w:p>
      <w:r>
        <w:rPr>
          <w:i/>
          <w:color w:val="666666"/>
          <w:sz w:val="18"/>
        </w:rPr>
        <w:t>Yıldırım E et al.  ·  Herz  ·  01.10.2026  ·  PMID 42823488</w:t>
      </w:r>
    </w:p>
    <w:p>
      <w:r>
        <w:t>Querschnittsstudie: 941 Personen (198 mit VF-Anamnese, 743 Kontrollen) wurden auf Zusammenhang zwischen Osaka Prognostic Score (OPS, basierend auf CRP, Lymphozytenzahl, Albumin) und paroxysmalem Vorhofflimmern untersucht.</w:t>
      </w:r>
    </w:p>
    <w:p>
      <w:r>
        <w:rPr>
          <w:b/>
        </w:rPr>
        <w:t xml:space="preserve">Ergebnis: </w:t>
      </w:r>
      <w:r>
        <w:t>Multivariable logistische Regression: OPS unabhängig mit VF assoziiert (OR 3,37; p&lt;0,001). ROC-Analyse: OPS &gt;0,5 mit VF-Präsenz verbunden (Sensitivität 55,6%, Spezifität 77,4%, AUC 0,682; p&lt;0,001). Einfacher klinischer Biomarker, der Zusatzinformation zur Risikostratifikation liefert.</w:t>
      </w:r>
    </w:p>
    <w:p>
      <w:r>
        <w:rPr>
          <w:b/>
          <w:sz w:val="19"/>
        </w:rPr>
        <w:t xml:space="preserve">Übertragbarkeit: </w:t>
      </w:r>
      <w:r>
        <w:rPr>
          <w:sz w:val="19"/>
        </w:rPr>
        <w:t>Türkei, prospektives Design zur Validierung erforderlich, Biomarker-Konzept international übertragbar</w:t>
      </w:r>
    </w:p>
    <w:p>
      <w:r>
        <w:rPr>
          <w:color w:val="5A7D3A"/>
          <w:sz w:val="18"/>
        </w:rPr>
        <w:t>https://pubmed.ncbi.nlm.nih.gov/42823488/</w:t>
      </w:r>
    </w:p>
    <w:p>
      <w:pPr>
        <w:pStyle w:val="Heading2"/>
      </w:pPr>
      <w:r>
        <w:t>Stereotaktische Bestrahlung für therapierefraktäre Kammertachykardie bei Chagas-Kardiomyopathie möglich</w:t>
      </w:r>
    </w:p>
    <w:p>
      <w:r>
        <w:rPr>
          <w:i/>
          <w:color w:val="666666"/>
          <w:sz w:val="18"/>
        </w:rPr>
        <w:t>Salvajoli B et al.  ·  JACC Clin Electrophysiol  ·  11.09.2026  ·  PMID 42820878</w:t>
      </w:r>
    </w:p>
    <w:p>
      <w:r>
        <w:t>Prospektive Phase-I/II-Pilotstudie: 11 Patienten mit Chagas-Kardiomyopathie und therapierefraktärer Kammertachykardie, bei denen interventionelle Ablation versagt oder nicht in Frage kam, erhielten einzelne 25-Gy-SBRT-Fraktion auf arrhythmisches Substrat.</w:t>
      </w:r>
    </w:p>
    <w:p>
      <w:r>
        <w:rPr>
          <w:b/>
        </w:rPr>
        <w:t xml:space="preserve">Ergebnis: </w:t>
      </w:r>
      <w:r>
        <w:t>Median Follow-up 160 Tage: VT-Rezidiv in 10 von 11 Patienten (Median bis Rezidiv 79 Tage nach 6-Wochen-Blanking-Phase). Vergleich 12 Monate nach vs. 6 Monate vor SBRT: signifikante Reduktion VT-Episoden (p=0,040), Antitachykardie-Pacing (p=0,012) und kombinierte Therapien (p=0,022). 12-Monats-Gesamtüberleben 45,5%. Keine schwerwiegenden therapiebedingten Nebenwirkungen.</w:t>
      </w:r>
    </w:p>
    <w:p>
      <w:r>
        <w:rPr>
          <w:b/>
          <w:sz w:val="19"/>
        </w:rPr>
        <w:t xml:space="preserve">Übertragbarkeit: </w:t>
      </w:r>
      <w:r>
        <w:rPr>
          <w:sz w:val="19"/>
        </w:rPr>
        <w:t>Brasilien, neue Technik, aber Machbarkeit und Sicherheit wegweisend für seltene, therapierefraktäre Indikation</w:t>
      </w:r>
    </w:p>
    <w:p>
      <w:r>
        <w:rPr>
          <w:color w:val="5A7D3A"/>
          <w:sz w:val="18"/>
        </w:rPr>
        <w:t>https://pubmed.ncbi.nlm.nih.gov/42820878/</w:t>
      </w:r>
    </w:p>
    <w:p>
      <w:pPr>
        <w:pStyle w:val="Heading2"/>
      </w:pPr>
      <w:r>
        <w:t>Transkatheter-PDA-Verschluss am Bett Neugeborener sicherer und kürzer als im Labor</w:t>
      </w:r>
    </w:p>
    <w:p>
      <w:r>
        <w:rPr>
          <w:i/>
          <w:color w:val="666666"/>
          <w:sz w:val="18"/>
        </w:rPr>
        <w:t>Sathanandam S et al.  ·  JACC Cardiovasc Interv  ·  28.09.2026  ·  PMID 42805720</w:t>
      </w:r>
    </w:p>
    <w:p>
      <w:r>
        <w:t>Retrospektive Analyse der Transition eines interventionellen Verfahrens vom Katheterisierungslabor auf die neonatale Intensivstation: 500 extrem frühgeborene Kinder (&lt;28 Wochen, &lt;2 kg) mit hämodynamisch signifikantem Ductus arteriosus, davon 176 am Bett behandelt.</w:t>
      </w:r>
    </w:p>
    <w:p>
      <w:r>
        <w:rPr>
          <w:b/>
        </w:rPr>
        <w:t xml:space="preserve">Ergebnis: </w:t>
      </w:r>
      <w:r>
        <w:t>Bettseitige Verfahren waren kürzer (18 Min. vs. 32 Min., p&lt;0,001), mit weniger Strahlenbelastung (0,019 vs. 0,068 Gy×cm²; p&lt;0,001). Prozedurales Erfolg: 100% in allen Settings. Komplikationsrate 1,7% ähnlich in allen Gruppen. Überlebensrate nach Median 6,8 Jahren: 89%, keine Rezidiv-PDAs, minimale Spätkomplikationen.</w:t>
      </w:r>
    </w:p>
    <w:p>
      <w:r>
        <w:rPr>
          <w:b/>
          <w:sz w:val="19"/>
        </w:rPr>
        <w:t xml:space="preserve">Übertragbarkeit: </w:t>
      </w:r>
      <w:r>
        <w:rPr>
          <w:sz w:val="19"/>
        </w:rPr>
        <w:t>USA-Zentren, aber Verfahrenssicherheit und Outcome-Daten unabhängig von Gesundheitssystem übertragbar</w:t>
      </w:r>
    </w:p>
    <w:p>
      <w:r>
        <w:rPr>
          <w:color w:val="5A7D3A"/>
          <w:sz w:val="18"/>
        </w:rPr>
        <w:t>https://pubmed.ncbi.nlm.nih.gov/42805720/</w:t>
      </w:r>
    </w:p>
    <w:p>
      <w:pPr>
        <w:pStyle w:val="Heading2"/>
      </w:pPr>
      <w:r>
        <w:t>HFpEF und HFmrEF: Klinische Trends in Patientendaten-Metaanalyse stabilisiert sich</w:t>
      </w:r>
    </w:p>
    <w:p>
      <w:r>
        <w:rPr>
          <w:i/>
          <w:color w:val="666666"/>
          <w:sz w:val="18"/>
        </w:rPr>
        <w:t>Gori M et al.  ·  Eur Heart J  ·  26.09.2026  ·  PMID 42799541</w:t>
      </w:r>
    </w:p>
    <w:p>
      <w:r>
        <w:t>Individuelle Patientendaten-Metaanalyse von Herzinsuffizienz-Studien mit erhaltener und mittlerer Auswurffraktion: Analyse von zeitlichen Trends und Outcomes über mehrere Jahrzehnte in randomisierten Kontrolltrialen.</w:t>
      </w:r>
    </w:p>
    <w:p>
      <w:r>
        <w:rPr>
          <w:b/>
        </w:rPr>
        <w:t xml:space="preserve">Ergebnis: </w:t>
      </w:r>
      <w:r>
        <w:t>Gori et al. zeigen, dass sich die klinischen Charakteristiken und Outcomevariablen von HFpEF und HFmrEF über Zeit stabilisieren; präzise Quantifizierung der Baseline-Merkmale und Endpunkte im Abstract nicht genannt. Befund unterstreicht, dass diese Phänotypen konstante Prognostik aufweisen.</w:t>
      </w:r>
    </w:p>
    <w:p>
      <w:r>
        <w:rPr>
          <w:b/>
          <w:sz w:val="19"/>
        </w:rPr>
        <w:t xml:space="preserve">Übertragbarkeit: </w:t>
      </w:r>
      <w:r>
        <w:rPr>
          <w:sz w:val="19"/>
        </w:rPr>
        <w:t>Europäische und nordamerikanische Studienpopulationen, übertragbar auf strukturierte Versorgung</w:t>
      </w:r>
    </w:p>
    <w:p>
      <w:r>
        <w:rPr>
          <w:color w:val="5A7D3A"/>
          <w:sz w:val="18"/>
        </w:rPr>
        <w:t>https://pubmed.ncbi.nlm.nih.gov/42799541/</w:t>
      </w:r>
    </w:p>
    <w:p>
      <w:pPr>
        <w:pStyle w:val="Heading2"/>
      </w:pPr>
      <w:r>
        <w:t>Klonale Hämatopoese DNMT3A verursacht endotheliale Aktivierung und Herzinsuffizienz via Semaphorin 4A</w:t>
      </w:r>
    </w:p>
    <w:p>
      <w:r>
        <w:rPr>
          <w:i/>
          <w:color w:val="666666"/>
          <w:sz w:val="18"/>
        </w:rPr>
        <w:t>Shumliakivska M et al.  ·  Cardiovasc Res  ·  05.09.2026  ·  PMID 42698267</w:t>
      </w:r>
    </w:p>
    <w:p>
      <w:r>
        <w:t>Experimentelle Arbeit: DNMT3A-getriebene klonale Hämatopoese wurde in Herzinsuffizienz-Modellen untersucht; Mechanismus über Semaphorin-4A-abhängige endotheliale Aktivierung identifiziert durch genetische und pharmakologische Intervention.</w:t>
      </w:r>
    </w:p>
    <w:p>
      <w:r>
        <w:rPr>
          <w:b/>
        </w:rPr>
        <w:t xml:space="preserve">Ergebnis: </w:t>
      </w:r>
      <w:r>
        <w:t>DNMT3A-Mutation in Blutvorläuferzellen triggert klonale Expansion, die über zirkulierende Signalmoleküle (Semaphorin 4A) endotheliale Dysfunktion und Herzinsuffizienz-Phänotyp induziert. Genetische und pharmazeutische Blockade des Mechanismus reduziert HF-Progression in vivo.</w:t>
      </w:r>
    </w:p>
    <w:p>
      <w:r>
        <w:rPr>
          <w:b/>
          <w:sz w:val="19"/>
        </w:rPr>
        <w:t xml:space="preserve">Übertragbarkeit: </w:t>
      </w:r>
      <w:r>
        <w:rPr>
          <w:sz w:val="19"/>
        </w:rPr>
        <w:t>Deutschland (Frankfurt, Heidelberg), funktioneller Mechanismus mit therapeutischem Ansatz für tiefere Grundlagenforschung</w:t>
      </w:r>
    </w:p>
    <w:p>
      <w:r>
        <w:rPr>
          <w:color w:val="5A7D3A"/>
          <w:sz w:val="18"/>
        </w:rPr>
        <w:t>https://pubmed.ncbi.nlm.nih.gov/42698267/</w:t>
      </w:r>
    </w:p>
    <w:p>
      <w:pPr>
        <w:pStyle w:val="Heading1"/>
      </w:pPr>
      <w:r>
        <w:t>Aufgenommen am 04.10.2026</w:t>
      </w:r>
    </w:p>
    <w:p>
      <w:pPr>
        <w:pStyle w:val="Heading2"/>
      </w:pPr>
      <w:r>
        <w:t>Schlaganfall und neurologische Komplikationen unter magnetisch levitiertem LVAD erhöhen Mortalität deutlich</w:t>
      </w:r>
    </w:p>
    <w:p>
      <w:r>
        <w:rPr>
          <w:i/>
          <w:color w:val="666666"/>
          <w:sz w:val="18"/>
        </w:rPr>
        <w:t>Saeed O et al.  ·  JACC Heart Fail  ·  01.10.2026  ·  PMID 42825733</w:t>
      </w:r>
    </w:p>
    <w:p>
      <w:r>
        <w:t>Retrospektive Analyse von 11.739 Patienten mit fortgeschrittener Herzinsuffizienz unter mechanischer Kreislaufunterstützung (Mag-Lev LVAD) aus einer US-Datenbank (2017–2023) zur Häufigkeit und prognostischen Folgen neurologischer Ereignisse.</w:t>
      </w:r>
    </w:p>
    <w:p>
      <w:r>
        <w:rPr>
          <w:b/>
        </w:rPr>
        <w:t xml:space="preserve">Ergebnis: </w:t>
      </w:r>
      <w:r>
        <w:t>Schlaganfälle traten bei 8 % auf, nicht-apoplektische neurologische Ereignisse bei 8 %; 84 % blieben ereignisfrei. Nach zwei Jahren betrug die Überlebensrate nach Schlaganfall 45 %, nach anderen neurologischen Ereignissen 56 % (p &lt; 0,001). Schlaganfall erhöhte das Todesrisiko um das 7,3-Fache (HR 7,3), andere neurologische Ereignisse um das 5,1-Fache (HR 5,1) gegenüber keinem Ereignis. Prä-LVAD-ECMO und begleitende Eingriffe waren mit mehr neurologischen Komplikationen assoziiert.</w:t>
      </w:r>
    </w:p>
    <w:p>
      <w:r>
        <w:rPr>
          <w:b/>
          <w:sz w:val="19"/>
        </w:rPr>
        <w:t xml:space="preserve">Übertragbarkeit: </w:t>
      </w:r>
      <w:r>
        <w:rPr>
          <w:sz w:val="19"/>
        </w:rPr>
        <w:t>STS-INTERMACS-Registry (USA), begrenzte Übertragbarkeit auf deutsche Zentren wegen unterschiedlicher Patientenselektion</w:t>
      </w:r>
    </w:p>
    <w:p>
      <w:r>
        <w:rPr>
          <w:color w:val="5A7D3A"/>
          <w:sz w:val="18"/>
        </w:rPr>
        <w:t>https://pubmed.ncbi.nlm.nih.gov/42825733/</w:t>
      </w:r>
    </w:p>
    <w:p>
      <w:pPr>
        <w:pStyle w:val="Heading2"/>
      </w:pPr>
      <w:r>
        <w:t>Periprozeduraler Herzinfarkt nach PCI: diffuse Koronarmorphologie erhöht Risiko gegenüber fokaler Stenose</w:t>
      </w:r>
    </w:p>
    <w:p>
      <w:r>
        <w:rPr>
          <w:i/>
          <w:color w:val="666666"/>
          <w:sz w:val="18"/>
        </w:rPr>
        <w:t>Zhang H et al.  ·  Am Heart J  ·  29.09.2026  ·  PMID 42810565</w:t>
      </w:r>
    </w:p>
    <w:p>
      <w:r>
        <w:t>Vergleichende Analyse von 855 Patienten, die sich einer perkutanen Koronarintervention unterzogen, hinsichtlich des Auftretens und der Folgen eines periprozeduralen Myokardinfarkts (PMI) in Abhängigkeit von der Morphologie der behandelten Gefäße (fokal vs. diffus).</w:t>
      </w:r>
    </w:p>
    <w:p>
      <w:r>
        <w:rPr>
          <w:b/>
        </w:rPr>
        <w:t xml:space="preserve">Ergebnis: </w:t>
      </w:r>
      <w:r>
        <w:t>PMI nach Fourth Universal Definition trat bei diffuser Morphologie signifikant häufiger auf als bei fokaler (9,8 % vs. 5,9 %; p = 0,048). Troponinerhöhung ≥70 × URL war häufiger bei diffuser Morphologie (8,5 % vs. 4,8 %; p = 0,041). PMI mit angiographischen Komplikationen trat nur bei diffuser Morphologie auf (2,0 % vs. 0,2 %; p = 0,015). Ein-Jahres-Target-Vessel-Failure korrelierte nur mit PMI-Phänotypen, die angiographische Komplikationen einschlossen.</w:t>
      </w:r>
    </w:p>
    <w:p>
      <w:r>
        <w:rPr>
          <w:b/>
          <w:sz w:val="19"/>
        </w:rPr>
        <w:t xml:space="preserve">Übertragbarkeit: </w:t>
      </w:r>
      <w:r>
        <w:rPr>
          <w:sz w:val="19"/>
        </w:rPr>
        <w:t>Multinationale Kohortenstudie (Europa, USA, Japan), Methodik übertragbar auf deutsche Zentren</w:t>
      </w:r>
    </w:p>
    <w:p>
      <w:r>
        <w:rPr>
          <w:color w:val="5A7D3A"/>
          <w:sz w:val="18"/>
        </w:rPr>
        <w:t>https://pubmed.ncbi.nlm.nih.gov/42810565/</w:t>
      </w:r>
    </w:p>
    <w:p>
      <w:pPr>
        <w:pStyle w:val="Heading2"/>
      </w:pPr>
      <w:r>
        <w:t>Trainingsbelastung löst bei Ausdauerathleten mit Vorhofflimmern keine erhöhten Arrhythmie-Raten aus</w:t>
      </w:r>
    </w:p>
    <w:p>
      <w:r>
        <w:rPr>
          <w:i/>
          <w:color w:val="666666"/>
          <w:sz w:val="18"/>
        </w:rPr>
        <w:t>Apelland T et al.  ·  J Am Heart Assoc  ·  29.09.2026  ·  PMID 42808447</w:t>
      </w:r>
    </w:p>
    <w:p>
      <w:r>
        <w:t>Prospektive Studie mit implantierbaren Kardiovertern bei 47 Ausdauerathleten mit paroxysmalen Vorhofflimmern über insgesamt 55.994 Monitoreingsstunden zur zeitlichen Assoziation zwischen Trainingsbelastung und Arrhythmie-Episoden.</w:t>
      </w:r>
    </w:p>
    <w:p>
      <w:r>
        <w:rPr>
          <w:b/>
        </w:rPr>
        <w:t xml:space="preserve">Ergebnis: </w:t>
      </w:r>
      <w:r>
        <w:t>31 Athleten (66 %) hatten 1.445 Vorhofflimmern-Episoden; 13 (27 %) erlebten VF während Trainingsbelastung, davon nur zwei während hochintensiver Trainingseinheiten. VF-Rate während Trainingsbelastung betrug 0,34 pro 24 h (95 % KI 0,13–0,65) und danach 0,37 (95 % KI 0,10–0,71), nicht erhöht gegenüber unabhängig vom Training (0,61; 95 % KI 0,26–1,13). Keine belastungsassoziierten Kammertachykardien.</w:t>
      </w:r>
    </w:p>
    <w:p>
      <w:r>
        <w:rPr>
          <w:b/>
          <w:sz w:val="19"/>
        </w:rPr>
        <w:t xml:space="preserve">Übertragbarkeit: </w:t>
      </w:r>
      <w:r>
        <w:rPr>
          <w:sz w:val="19"/>
        </w:rPr>
        <w:t>Multinationale europäische und australische Kohorten, vergleichbare Sportmedizin-Standards</w:t>
      </w:r>
    </w:p>
    <w:p>
      <w:r>
        <w:rPr>
          <w:color w:val="5A7D3A"/>
          <w:sz w:val="18"/>
        </w:rPr>
        <w:t>https://pubmed.ncbi.nlm.nih.gov/42808447/</w:t>
      </w:r>
    </w:p>
    <w:p>
      <w:pPr>
        <w:pStyle w:val="Heading2"/>
      </w:pPr>
      <w:r>
        <w:t>SMOC-1-Protein schützt nach Herzinfarkt vor Herzruptur durch Fibroblasten-Aktivierung</w:t>
      </w:r>
    </w:p>
    <w:p>
      <w:r>
        <w:rPr>
          <w:i/>
          <w:color w:val="666666"/>
          <w:sz w:val="18"/>
        </w:rPr>
        <w:t>Gong W et al.  ·  Circulation  ·  29.09.2026  ·  PMID 42808155</w:t>
      </w:r>
    </w:p>
    <w:p>
      <w:r>
        <w:t>Proteomik-Analyse von Patienten und Tiermodellen zur Identifikation von Proteinen, die mit Herzruptur nach akutem Myokardinfarkt assoziiert sind, mit funktionalen Studien zum Mechanismus.</w:t>
      </w:r>
    </w:p>
    <w:p>
      <w:r>
        <w:rPr>
          <w:b/>
        </w:rPr>
        <w:t xml:space="preserve">Ergebnis: </w:t>
      </w:r>
      <w:r>
        <w:t>SMOC-1 (Secreted Modular Calcium-Binding Protein 1) war das signifikanteste hochregulierte Protein bei Herzruptur. Genetische SMOC-1-Knockout verdoppelte die Ruptur-Inzidenz und reduzierte Überlebensrate in Mausmodellen; SMOC-1-Überexpression senkte die Rupturrate signifikant. SMOC-1 bindet TGF-βR1 auf Fibroblasten und aktiviert die Smad-Signalisierung zur Kollagensynthese und Narbenmaturität. Der Effekt war durch EPRS-Inhibition aufhebbar.</w:t>
      </w:r>
    </w:p>
    <w:p>
      <w:r>
        <w:rPr>
          <w:b/>
          <w:sz w:val="19"/>
        </w:rPr>
        <w:t xml:space="preserve">Übertragbarkeit: </w:t>
      </w:r>
      <w:r>
        <w:rPr>
          <w:sz w:val="19"/>
        </w:rPr>
        <w:t>Grundlagenarbeit mit erkennbarem klinischen Weg zur Prävention von Herzruptur</w:t>
      </w:r>
    </w:p>
    <w:p>
      <w:r>
        <w:rPr>
          <w:color w:val="5A7D3A"/>
          <w:sz w:val="18"/>
        </w:rPr>
        <w:t>https://pubmed.ncbi.nlm.nih.gov/42808155/</w:t>
      </w:r>
    </w:p>
    <w:p>
      <w:pPr>
        <w:pStyle w:val="Heading2"/>
      </w:pPr>
      <w:r>
        <w:t>Perikarditis: Von symptomatischer Therapie zu zielgerichteter Interleukin-1-Inhibition</w:t>
      </w:r>
    </w:p>
    <w:p>
      <w:r>
        <w:rPr>
          <w:i/>
          <w:color w:val="666666"/>
          <w:sz w:val="18"/>
        </w:rPr>
        <w:t>Al-Dalakta A et al.  ·  Circulation  ·  29.09.2026  ·  PMID 42804572</w:t>
      </w:r>
    </w:p>
    <w:p>
      <w:r>
        <w:t>Narrative Review der historischen Entwicklung von Diagnostik und Therapie der Perikarditis vom antiken Griechenland bis 2026 mit Schwerpunkt auf neuere mechanismusbasierte Ansätze.</w:t>
      </w:r>
    </w:p>
    <w:p>
      <w:r>
        <w:rPr>
          <w:b/>
        </w:rPr>
        <w:t xml:space="preserve">Ergebnis: </w:t>
      </w:r>
      <w:r>
        <w:t>Klassische Therapie mit NSAIDs und Kortikosteroiden hatte hohe Rezidivquoten. Kolchizin (randomisierte Studien) wurde Standard für akute und rezidivierende Perikarditis. Neue Paradigma: IL-1-Inhibitoren (Anakinra, Rilonacept) für refraktäre Fälle basierend auf Erkennung autoinflammatorischer Mechanismen. Echokardiographie ermöglichte sichere Perikardiocentese; kardiale MRT verbesserte Risikostratifikation. Evidenz-gestützte, personalisierte Therapie ersetzt empirische Behandlung.</w:t>
      </w:r>
    </w:p>
    <w:p>
      <w:r>
        <w:rPr>
          <w:b/>
          <w:sz w:val="19"/>
        </w:rPr>
        <w:t xml:space="preserve">Übertragbarkeit: </w:t>
      </w:r>
      <w:r>
        <w:rPr>
          <w:sz w:val="19"/>
        </w:rPr>
        <w:t>Europäische und internationale Literaturgrundlage, Therapien in Deutschland verfügbar und leitlinienkonform</w:t>
      </w:r>
    </w:p>
    <w:p>
      <w:r>
        <w:rPr>
          <w:color w:val="5A7D3A"/>
          <w:sz w:val="18"/>
        </w:rPr>
        <w:t>https://pubmed.ncbi.nlm.nih.gov/42804572/</w:t>
      </w:r>
    </w:p>
    <w:p>
      <w:pPr>
        <w:pStyle w:val="Heading2"/>
      </w:pPr>
      <w:r>
        <w:t>Frauen mit Vorhofflimmern haben persistent höheres Herzinsuffizienz-Risiko trotz verbesserter Therapie</w:t>
      </w:r>
    </w:p>
    <w:p>
      <w:r>
        <w:rPr>
          <w:i/>
          <w:color w:val="666666"/>
          <w:sz w:val="18"/>
        </w:rPr>
        <w:t>Huang JY et al.  ·  JACC Clin Electrophysiol  ·  18.09.2026  ·  PMID 42788936</w:t>
      </w:r>
    </w:p>
    <w:p>
      <w:r>
        <w:t>Territory-wide Bevölkerungs-Registry in Hongkong mit 130.132 neu diagnostizierten AF-Patienten (1997–2021) zur Analyse geschlechtsspezifischer Trends bei Herzinsuffizienz-Entwicklung mit Competing-risk-Analyse.</w:t>
      </w:r>
    </w:p>
    <w:p>
      <w:r>
        <w:rPr>
          <w:b/>
        </w:rPr>
        <w:t xml:space="preserve">Ergebnis: </w:t>
      </w:r>
      <w:r>
        <w:t>Jährliche Herzinsuffizienz-Inzidenz (pro 1000 Personenjahre) sank bei Frauen von 69,6 (1997) auf 16,7 (2021) und bei Männern von 44,5 auf 13,7. Frauen behielten eine höhere Inzidenz (25,3 vs. 19,3) und erhöhtes Risiko bei (incidence rate ratio 1,34; 95 % KI 1,31–1,37). Frauen waren älter bei AF-Diagnose, hatten höhere CHA₂DS₂-VASc-Scores und erhielten häufiger reduzierte DOAK-Dosen.</w:t>
      </w:r>
    </w:p>
    <w:p>
      <w:r>
        <w:rPr>
          <w:b/>
          <w:sz w:val="19"/>
        </w:rPr>
        <w:t xml:space="preserve">Übertragbarkeit: </w:t>
      </w:r>
      <w:r>
        <w:rPr>
          <w:sz w:val="19"/>
        </w:rPr>
        <w:t>Hongkong (Versicherungssystem nicht identisch), zeitliche Trends relevant für Versorgungsplanung</w:t>
      </w:r>
    </w:p>
    <w:p>
      <w:r>
        <w:rPr>
          <w:color w:val="5A7D3A"/>
          <w:sz w:val="18"/>
        </w:rPr>
        <w:t>https://pubmed.ncbi.nlm.nih.gov/42788936/</w:t>
      </w:r>
    </w:p>
    <w:p>
      <w:pPr>
        <w:pStyle w:val="Heading1"/>
      </w:pPr>
      <w:r>
        <w:t>Aufgenommen am 03.10.2026</w:t>
      </w:r>
    </w:p>
    <w:p>
      <w:pPr>
        <w:pStyle w:val="Heading2"/>
      </w:pPr>
      <w:r>
        <w:t>Trainee-geführte Herzklappenchirurgie sicher: UK-Registerdaten zeigen keine erhöhte Mortalität</w:t>
      </w:r>
    </w:p>
    <w:p>
      <w:r>
        <w:rPr>
          <w:i/>
          <w:color w:val="666666"/>
          <w:sz w:val="18"/>
        </w:rPr>
        <w:t>Chan J et al.  ·  Open Heart  ·  01.10.2026  ·  PMID 42823084</w:t>
      </w:r>
    </w:p>
    <w:p>
      <w:r>
        <w:t>Nationale britische Kohortenstudie zur Sicherheit von Trainee-geführten Aortenklappen- und Mitralklappenoperationen 1996–2019.</w:t>
      </w:r>
    </w:p>
    <w:p>
      <w:r>
        <w:rPr>
          <w:b/>
        </w:rPr>
        <w:t xml:space="preserve">Ergebnis: </w:t>
      </w:r>
      <w:r>
        <w:t>Von 96.907 isolierten Klappenoperationen wurden 18,7% (AVR) und 9,8% (Mitralklappe) von Trainees durchgeführt. Nach Propensity Matching zeigten trainee-geführte Prozeduren keine höhere in-hospital-Mortalität oder frühe Morbidität. Deutliche Variation in Trainingsgelegenheiten zwischen Kliniken und Chirurgen (44,8–59,6%).</w:t>
      </w:r>
    </w:p>
    <w:p>
      <w:r>
        <w:rPr>
          <w:b/>
          <w:sz w:val="19"/>
        </w:rPr>
        <w:t xml:space="preserve">Übertragbarkeit: </w:t>
      </w:r>
      <w:r>
        <w:rPr>
          <w:sz w:val="19"/>
        </w:rPr>
        <w:t>UK-Gesundheitssystem, nationale Qualitätsdatenbank, strukturiertes Trainingsumfeld übertragbar</w:t>
      </w:r>
    </w:p>
    <w:p>
      <w:r>
        <w:rPr>
          <w:color w:val="5A7D3A"/>
          <w:sz w:val="18"/>
        </w:rPr>
        <w:t>https://pubmed.ncbi.nlm.nih.gov/42823084/</w:t>
      </w:r>
    </w:p>
    <w:p>
      <w:pPr>
        <w:pStyle w:val="Heading2"/>
      </w:pPr>
      <w:r>
        <w:t>EXPORT-Studie geplant: Nicht-Lungenvenen-Ablation bei persistentem Vorhofflimmern getestet</w:t>
      </w:r>
    </w:p>
    <w:p>
      <w:r>
        <w:rPr>
          <w:i/>
          <w:color w:val="666666"/>
          <w:sz w:val="18"/>
        </w:rPr>
        <w:t>Kim D et al.  ·  Am Heart J  ·  01.10.2026  ·  PMID 42822815</w:t>
      </w:r>
    </w:p>
    <w:p>
      <w:r>
        <w:t>Rationale und Design einer prospektiven, randomisierten, verblindeten Multizenterstudie zur Nicht-Lungenvenen-Triggerabilation zusätzlich zur Lungenvenenarrhythmielisolation bei persistentem Vorhofflimmern.</w:t>
      </w:r>
    </w:p>
    <w:p>
      <w:r>
        <w:rPr>
          <w:b/>
        </w:rPr>
        <w:t xml:space="preserve">Ergebnis: </w:t>
      </w:r>
      <w:r>
        <w:t>EXPORT ist Multicenter-Überlegenheitsstudie (n=430, 215 pro Gruppe) mit primärem Endpunkt Freiheit von dokumentierten Vorhofrhythmien ≥30 Sekunden nach 3-Monats-Blanking-Phase. Sekundärendpunkte: Freiheit ohne Antiarrhythmika, periprozeduale Komplikationen, Gesamtprozedurdauer. Klinische Relevanz: hohe Rezidivrate bei PV-Isolation allein bei persistentem VF.</w:t>
      </w:r>
    </w:p>
    <w:p>
      <w:r>
        <w:rPr>
          <w:b/>
          <w:sz w:val="19"/>
        </w:rPr>
        <w:t xml:space="preserve">Übertragbarkeit: </w:t>
      </w:r>
      <w:r>
        <w:rPr>
          <w:sz w:val="19"/>
        </w:rPr>
        <w:t>Südkorea, prospektives RCT-Design, Ablationstechnik weltweit etabliert</w:t>
      </w:r>
    </w:p>
    <w:p>
      <w:r>
        <w:rPr>
          <w:color w:val="5A7D3A"/>
          <w:sz w:val="18"/>
        </w:rPr>
        <w:t>https://pubmed.ncbi.nlm.nih.gov/42822815/</w:t>
      </w:r>
    </w:p>
    <w:p>
      <w:pPr>
        <w:pStyle w:val="Heading2"/>
      </w:pPr>
      <w:r>
        <w:t>Sotagliflozin rentabel bei Herzinsuffizienz: $75.510 pro Lebensjahr in Qualität</w:t>
      </w:r>
    </w:p>
    <w:p>
      <w:r>
        <w:rPr>
          <w:i/>
          <w:color w:val="666666"/>
          <w:sz w:val="18"/>
        </w:rPr>
        <w:t>Zhang Z et al.  ·  Am J Cardiol  ·  30.09.2026  ·  PMID 42815751</w:t>
      </w:r>
    </w:p>
    <w:p>
      <w:r>
        <w:t>Kosten-Nutzen-Analyse der SOLOIST-WHF-Studie mit Markov-Mikrosimulation über Lebenszeit für Sotagliflozin bei Herzinsuffizienz mit erhaltener und reduzierter Ejektionsfraktion.</w:t>
      </w:r>
    </w:p>
    <w:p>
      <w:r>
        <w:rPr>
          <w:b/>
        </w:rPr>
        <w:t xml:space="preserve">Ergebnis: </w:t>
      </w:r>
      <w:r>
        <w:t>Sotagliflozin erhöhte qualitätskorrigierte Lebensjahre (QALY) um 0,39 (4,43 vs. 4,04) und Lebenserwartung um 0,64 Jahre (7,12 vs. 6,48 Jahre) mit inkrementellem Kostenaufwand von $29.449 (95% UI: $26.610–$32.528), ICER $75.510/QALY (UI: $55.640–$98.300). Bei HFpEF ICER $71.135/QALY, bei HFrEF $87.635/QALY.</w:t>
      </w:r>
    </w:p>
    <w:p>
      <w:r>
        <w:rPr>
          <w:b/>
          <w:sz w:val="19"/>
        </w:rPr>
        <w:t xml:space="preserve">Übertragbarkeit: </w:t>
      </w:r>
      <w:r>
        <w:rPr>
          <w:sz w:val="19"/>
        </w:rPr>
        <w:t>US-Healthcare-Payer-Perspektive; Medikamentenkosten möglicherweise anderswertig; Effizienzaussage schwerpunktunabhängig</w:t>
      </w:r>
    </w:p>
    <w:p>
      <w:r>
        <w:rPr>
          <w:color w:val="5A7D3A"/>
          <w:sz w:val="18"/>
        </w:rPr>
        <w:t>https://pubmed.ncbi.nlm.nih.gov/42815751/</w:t>
      </w:r>
    </w:p>
    <w:p>
      <w:pPr>
        <w:pStyle w:val="Heading2"/>
      </w:pPr>
      <w:r>
        <w:t>Vorhofflimmern-Hospitalisierungen sinken: Israel-Bevölkerungsstudie zeigt Trend 2008–2022</w:t>
      </w:r>
    </w:p>
    <w:p>
      <w:r>
        <w:rPr>
          <w:i/>
          <w:color w:val="666666"/>
          <w:sz w:val="18"/>
        </w:rPr>
        <w:t>Moshkovits Y et al.  ·  Int J Cardiol  ·  30.09.2026  ·  PMID 42815583</w:t>
      </w:r>
    </w:p>
    <w:p>
      <w:r>
        <w:t>Bevölkerungsbasierte Studie von 12.141 Patienten mit neu diagnostiziertem Vorhofflimmern zu Ein-Jahres-Ergebnissen nach Klinikaufnahme.</w:t>
      </w:r>
    </w:p>
    <w:p>
      <w:r>
        <w:rPr>
          <w:b/>
        </w:rPr>
        <w:t xml:space="preserve">Ergebnis: </w:t>
      </w:r>
      <w:r>
        <w:t>Mortalität blieb stabil bei 11,3% (adjustierte RR pro Jahr: 1,01; 95% KI 0,99–1,02). Gesamthospitalisierungsrate sank von 61,6% (adjustierte RR 2008/2009 vs. 2020/2021: 0,87; 95% KI 0,79–0,95). VF-spezifische Readmissionen fielen deutlicher (19,2%, adjustierte RR: 0,24; 95% KI 0,22–0,26). Jüngere Patienten (&lt;70 Jahre) profitierten stärker.</w:t>
      </w:r>
    </w:p>
    <w:p>
      <w:r>
        <w:rPr>
          <w:b/>
          <w:sz w:val="19"/>
        </w:rPr>
        <w:t xml:space="preserve">Übertragbarkeit: </w:t>
      </w:r>
      <w:r>
        <w:rPr>
          <w:sz w:val="19"/>
        </w:rPr>
        <w:t>Israel-Krankenversicherungssystem ähnlich europäischen Sozialversicherungen, längere Beobachtung</w:t>
      </w:r>
    </w:p>
    <w:p>
      <w:r>
        <w:rPr>
          <w:color w:val="5A7D3A"/>
          <w:sz w:val="18"/>
        </w:rPr>
        <w:t>https://pubmed.ncbi.nlm.nih.gov/42815583/</w:t>
      </w:r>
    </w:p>
    <w:p>
      <w:pPr>
        <w:pStyle w:val="Heading2"/>
      </w:pPr>
      <w:r>
        <w:t>Nicht-TTN-Genmutationen bei dilatativer Kardiomyopathie: höheres Fibroserisiko und schlechtere Prognose</w:t>
      </w:r>
    </w:p>
    <w:p>
      <w:r>
        <w:rPr>
          <w:i/>
          <w:color w:val="666666"/>
          <w:sz w:val="18"/>
        </w:rPr>
        <w:t>Li Y et al.  ·  JACC Cardiovasc Imaging  ·  28.09.2026  ·  PMID 42814072</w:t>
      </w:r>
    </w:p>
    <w:p>
      <w:r>
        <w:t>Prospektive Kohortenstudie von 837 Patienten mit dilatativer Kardiomyopathie zu Genotyp-Phänotyp-Assoziationen und Langzeitergebnissen mittels Ganzgenomsequenzierung und Herzmagnetresonanztomographie.</w:t>
      </w:r>
    </w:p>
    <w:p>
      <w:r>
        <w:rPr>
          <w:b/>
        </w:rPr>
        <w:t xml:space="preserve">Ergebnis: </w:t>
      </w:r>
      <w:r>
        <w:t>Von 837 Patienten trugen 163 (19,5%) pathogene Varianten: 78 nicht-TTN, 85 TTN. Nicht-TTN-Varianten zeigten höhere Late-Gadolinium-Enhancement-Prävalenz (69,2% vs. 24,7% bei TTN), höhere T1 und extrazelluläres Volumen. Nicht-TTN-Varianten predizierten kardiovaskulären Tod/Transplantation (adjustierte HR 2,39; 95% KI 1,46–3,92; p&lt;0,001) und plötzlichen Herztod (adjustierte HR 3,26; 95% KI 1,59–6,65; p=0,001) unabhängig.</w:t>
      </w:r>
    </w:p>
    <w:p>
      <w:r>
        <w:rPr>
          <w:b/>
          <w:sz w:val="19"/>
        </w:rPr>
        <w:t xml:space="preserve">Übertragbarkeit: </w:t>
      </w:r>
      <w:r>
        <w:rPr>
          <w:sz w:val="19"/>
        </w:rPr>
        <w:t>Patientendaten aus China; genetische/bildgebende Mechanismen universal, Prognostik auf deutsches Patientengut übertragbar</w:t>
      </w:r>
    </w:p>
    <w:p>
      <w:r>
        <w:rPr>
          <w:color w:val="5A7D3A"/>
          <w:sz w:val="18"/>
        </w:rPr>
        <w:t>https://pubmed.ncbi.nlm.nih.gov/42814072/</w:t>
      </w:r>
    </w:p>
    <w:p>
      <w:pPr>
        <w:pStyle w:val="Heading2"/>
      </w:pPr>
      <w:r>
        <w:t>Periphere arterielle Verschlusskrankheit unterdiagnostiziert: 5-Jahres-Mortalität 30–50% bei später Diagnose</w:t>
      </w:r>
    </w:p>
    <w:p>
      <w:r>
        <w:rPr>
          <w:i/>
          <w:color w:val="666666"/>
          <w:sz w:val="18"/>
        </w:rPr>
        <w:t>Behrendt CA et al.  ·  Lancet  ·  03.10.2026  ·  PMID 42772316</w:t>
      </w:r>
    </w:p>
    <w:p>
      <w:r>
        <w:t>Aufruf-Review der Lancet-Serie zu globaler Epidemiologie, Unterdiagnose und Unterbehandlung der peripheren arteriellen Verschlusskrankheit in Primär- und Innere-Medizin-Praxis.</w:t>
      </w:r>
    </w:p>
    <w:p>
      <w:r>
        <w:rPr>
          <w:b/>
        </w:rPr>
        <w:t xml:space="preserve">Ergebnis: </w:t>
      </w:r>
      <w:r>
        <w:t>PAV bleibt lange asymptomatisch, Diagnose oft erst im fortgeschrittenen Stadium. 5-Jahres-Mortalität nach Diagnose 30–50%, übertrifft schwere Malignome und Herzinfarkt. Geringere Forschungspriorität und schlechte Adhärenz zu Lebensstiländerung und Therapie im Vergleich zu kardialer/zerebrovaskulärer Erkrankung. Serie fordert interdisziplinäre Strategien zur Prävention und frühen Erkennung.</w:t>
      </w:r>
    </w:p>
    <w:p>
      <w:r>
        <w:rPr>
          <w:b/>
          <w:sz w:val="19"/>
        </w:rPr>
        <w:t xml:space="preserve">Übertragbarkeit: </w:t>
      </w:r>
      <w:r>
        <w:rPr>
          <w:sz w:val="19"/>
        </w:rPr>
        <w:t>Deutschland/Europa: nationale PAV-Registererfassung, Leitlinienpositionierung, Hausarztqualifikation zentral</w:t>
      </w:r>
    </w:p>
    <w:p>
      <w:r>
        <w:rPr>
          <w:color w:val="5A7D3A"/>
          <w:sz w:val="18"/>
        </w:rPr>
        <w:t>https://pubmed.ncbi.nlm.nih.gov/42772316/</w:t>
      </w:r>
    </w:p>
    <w:p>
      <w:pPr>
        <w:pStyle w:val="Heading1"/>
      </w:pPr>
      <w:r>
        <w:t>Aufgenommen am 02.10.2026</w:t>
      </w:r>
    </w:p>
    <w:p>
      <w:pPr>
        <w:pStyle w:val="Heading2"/>
      </w:pPr>
      <w:r>
        <w:t>Lebensqualität bei Herzinsuffizienz vorhersagt 1-Jahres-Mortalität unabhängig von Auswurfleistung</w:t>
      </w:r>
    </w:p>
    <w:p>
      <w:r>
        <w:rPr>
          <w:i/>
          <w:color w:val="666666"/>
          <w:sz w:val="18"/>
        </w:rPr>
        <w:t>Walli-Attaei M et al.  ·  Eur J Heart Fail  ·  01.10.2026  ·  PMID 42820334</w:t>
      </w:r>
    </w:p>
    <w:p>
      <w:r>
        <w:t>ESC-Registry mit 10.130 HF-Patienten (38,6% akut, 61,4% ambulant): Assoziation zwischen gemessener Lebensqualität (EQ-5D-5L) und 1-Jahres-Ergebnis wurde untersucht.</w:t>
      </w:r>
    </w:p>
    <w:p>
      <w:r>
        <w:rPr>
          <w:b/>
        </w:rPr>
        <w:t xml:space="preserve">Ergebnis: </w:t>
      </w:r>
      <w:r>
        <w:t>0,1-Punkt-Abfall der Lebensqualität (Skala -0,59 bis 1,00) assoziiert mit 9% erhöhtem Mortalitätsrisiko (äquivalent 37 Tagen verlorener Vollgesundheit pro Jahr); Assoziation konsistent über alle EF-Kategorien. 45% der Patienten zeigten HRQoL-Verbesserung nach 1 Jahr; ACEi/ARB/ARNI-Nutzer profitiert mehr.</w:t>
      </w:r>
    </w:p>
    <w:p>
      <w:r>
        <w:rPr>
          <w:b/>
          <w:sz w:val="19"/>
        </w:rPr>
        <w:t xml:space="preserve">Übertragbarkeit: </w:t>
      </w:r>
      <w:r>
        <w:rPr>
          <w:sz w:val="19"/>
        </w:rPr>
        <w:t>Europäische Multizenterstudie, deutsches Versicherungssystem vergleichbar</w:t>
      </w:r>
    </w:p>
    <w:p>
      <w:r>
        <w:rPr>
          <w:color w:val="5A7D3A"/>
          <w:sz w:val="18"/>
        </w:rPr>
        <w:t>https://pubmed.ncbi.nlm.nih.gov/42820334/</w:t>
      </w:r>
    </w:p>
    <w:p>
      <w:pPr>
        <w:pStyle w:val="Heading2"/>
      </w:pPr>
      <w:r>
        <w:t>Prävention von Herzinsuffizienz über Kardio-Nieren-Metabolik-Spektrum: Europäischer Konsens</w:t>
      </w:r>
    </w:p>
    <w:p>
      <w:r>
        <w:rPr>
          <w:i/>
          <w:color w:val="666666"/>
          <w:sz w:val="18"/>
        </w:rPr>
        <w:t>Inciardi RM et al.  ·  Eur J Heart Fail  ·  01.10.2026  ·  PMID 42817848</w:t>
      </w:r>
    </w:p>
    <w:p>
      <w:r>
        <w:t>Europäischer Expertenkonsens zu pharmakologischen Strategien zur Herzinsuffizienz-Prävention durch frühe, parallele Initiierung von ACE-Hemmern/ARNi, SGLT2-Hemmern, nicht-steroidalen MRA und Inkretinagenzien.</w:t>
      </w:r>
    </w:p>
    <w:p>
      <w:r>
        <w:rPr>
          <w:b/>
        </w:rPr>
        <w:t xml:space="preserve">Ergebnis: </w:t>
      </w:r>
      <w:r>
        <w:t>ACE-Hemmer/ARNi, SGLT2-Hemmer, nicht-steroidale MRA und Inkretinagenzien zeigen komplementäre Benefits bei Reduktion von HF-Ereignissen, kardiovaskulärem Tod und CKD-Progression in Hochrisikogruppen. Frühe parallele Initiierung kann Krankheitsverlauf modifizieren und Progression von Präklinik zu manifester HF verhindern.</w:t>
      </w:r>
    </w:p>
    <w:p>
      <w:r>
        <w:rPr>
          <w:b/>
          <w:sz w:val="19"/>
        </w:rPr>
        <w:t xml:space="preserve">Übertragbarkeit: </w:t>
      </w:r>
      <w:r>
        <w:rPr>
          <w:sz w:val="19"/>
        </w:rPr>
        <w:t>Europa: Strukturierte CKM-Versorgungspfade etablierbar in deutschen Systemen</w:t>
      </w:r>
    </w:p>
    <w:p>
      <w:r>
        <w:rPr>
          <w:color w:val="5A7D3A"/>
          <w:sz w:val="18"/>
        </w:rPr>
        <w:t>https://pubmed.ncbi.nlm.nih.gov/42817848/</w:t>
      </w:r>
    </w:p>
    <w:p>
      <w:pPr>
        <w:pStyle w:val="Heading2"/>
      </w:pPr>
      <w:r>
        <w:t>Strain-Imaging erkennt HF-Risiko früher als Auswurflektion, prognostisch 1,6-fach besser</w:t>
      </w:r>
    </w:p>
    <w:p>
      <w:r>
        <w:rPr>
          <w:i/>
          <w:color w:val="666666"/>
          <w:sz w:val="18"/>
        </w:rPr>
        <w:t>Kosmala W et al.  ·  ESC Heart Fail  ·  30.09.2026  ·  PMID 42813228</w:t>
      </w:r>
    </w:p>
    <w:p>
      <w:r>
        <w:t>Synthesearbeit zur Rolle von 2D-Speckle-Tracking-Echokardiographie (GLS, LA-Strain, RV-Strain) in HF-Früherkennung, Phänotypisierung und Risikostratifizierung.</w:t>
      </w:r>
    </w:p>
    <w:p>
      <w:r>
        <w:rPr>
          <w:b/>
        </w:rPr>
        <w:t xml:space="preserve">Ergebnis: </w:t>
      </w:r>
      <w:r>
        <w:t>GLS &lt;16% zeigt 4-fach höheres Hospitalisierungsrisiko in Präklinik (Stage B); in HFpEF validierte diagnostische Minorkriterium. GLS 1,6-fach besserer prognostischer Marker als LVEF, besonders in Präklinik und HFpEF. LA-Strain &lt;18% quantifiziert diastolische Dysfunktion; RV-Strain unabhängiger Mortalitätsprädiktor.</w:t>
      </w:r>
    </w:p>
    <w:p>
      <w:r>
        <w:rPr>
          <w:b/>
          <w:sz w:val="19"/>
        </w:rPr>
        <w:t xml:space="preserve">Übertragbarkeit: </w:t>
      </w:r>
      <w:r>
        <w:rPr>
          <w:sz w:val="19"/>
        </w:rPr>
        <w:t>Europäische Evidenz, Echokardiographie in deutscher Flächenversorgung verfügbar</w:t>
      </w:r>
    </w:p>
    <w:p>
      <w:r>
        <w:rPr>
          <w:color w:val="5A7D3A"/>
          <w:sz w:val="18"/>
        </w:rPr>
        <w:t>https://pubmed.ncbi.nlm.nih.gov/42813228/</w:t>
      </w:r>
    </w:p>
    <w:p>
      <w:pPr>
        <w:pStyle w:val="Heading2"/>
      </w:pPr>
      <w:r>
        <w:t>Finerenon unterlegen Spironolacton bei HFmrEF/HFpEF nicht, senkt Hyperkaliämie stärker</w:t>
      </w:r>
    </w:p>
    <w:p>
      <w:r>
        <w:rPr>
          <w:i/>
          <w:color w:val="666666"/>
          <w:sz w:val="18"/>
        </w:rPr>
        <w:t>Ha PTK et al.  ·  ESC Heart Fail  ·  30.09.2026  ·  PMID 42813221</w:t>
      </w:r>
    </w:p>
    <w:p>
      <w:r>
        <w:t>Real-World-Vergleich (TriNetX, 9/2021-3/2025): 1.417 propensity-matched Paare mit HFmrEF/HFpEF, initiiert Finerenon oder Spironolacton, 12-Monats-Outcomes gemessen.</w:t>
      </w:r>
    </w:p>
    <w:p>
      <w:r>
        <w:rPr>
          <w:b/>
        </w:rPr>
        <w:t xml:space="preserve">Ergebnis: </w:t>
      </w:r>
      <w:r>
        <w:t>Finerenon: primärer Endpunkt (Mortalität oder HF-Exazerbation) 32,3% vs. 41,7% unter Spironolacton (aHR 0,72; 95%-KI 0,64–0,82). Mortalität aHR 0,67 (0,51–0,87), HF-Exazerbation aHR 0,73 (0,64–0,83), Klinikaufenthalte aHR 0,83 (0,76–0,91). Hyperkaliämie seltener: 17,9% vs. 22,8% (RR 0,79).</w:t>
      </w:r>
    </w:p>
    <w:p>
      <w:r>
        <w:rPr>
          <w:b/>
          <w:sz w:val="19"/>
        </w:rPr>
        <w:t xml:space="preserve">Übertragbarkeit: </w:t>
      </w:r>
      <w:r>
        <w:rPr>
          <w:sz w:val="19"/>
        </w:rPr>
        <w:t>Observational, multinational; Hypokalämie-Profil relevant für deutsche Praxis</w:t>
      </w:r>
    </w:p>
    <w:p>
      <w:r>
        <w:rPr>
          <w:color w:val="5A7D3A"/>
          <w:sz w:val="18"/>
        </w:rPr>
        <w:t>https://pubmed.ncbi.nlm.nih.gov/42813221/</w:t>
      </w:r>
    </w:p>
    <w:p>
      <w:pPr>
        <w:pStyle w:val="Heading2"/>
      </w:pPr>
      <w:r>
        <w:t>Periphere arterielle Erkrankung: moderne Therapie reduziert Limbenamputation und Behinderung</w:t>
      </w:r>
    </w:p>
    <w:p>
      <w:r>
        <w:rPr>
          <w:i/>
          <w:color w:val="666666"/>
          <w:sz w:val="18"/>
        </w:rPr>
        <w:t>Tulamo R et al.  ·  Lancet  ·  03.10.2026  ·  PMID 42772315</w:t>
      </w:r>
    </w:p>
    <w:p>
      <w:r>
        <w:t>Zweites Lancet-Übersichtspapier der PAD-Serie: Modernes Management mit medikamentöser Therapie, Lebensstiländerung, Bewegungstherapie und selektiver Revaskularisation bei niedriger Amputationsrate.</w:t>
      </w:r>
    </w:p>
    <w:p>
      <w:r>
        <w:rPr>
          <w:b/>
        </w:rPr>
        <w:t xml:space="preserve">Ergebnis: </w:t>
      </w:r>
      <w:r>
        <w:t>Supervised Exercise Therapy wirksam zur Gehleistungsverbesserung bei Claudicatio; Revaskularisation übernutzt in dieser Gruppe, reserviert für Critical Limb Ischemia. Perioperative Risiken erheblich; Innovation in Therapie fokussiert auf Lebensqualität und Überleben, nicht isoliert auf Perfusion. Polyvaskularität kompliziert Management.</w:t>
      </w:r>
    </w:p>
    <w:p>
      <w:r>
        <w:rPr>
          <w:b/>
          <w:sz w:val="19"/>
        </w:rPr>
        <w:t xml:space="preserve">Übertragbarkeit: </w:t>
      </w:r>
      <w:r>
        <w:rPr>
          <w:sz w:val="19"/>
        </w:rPr>
        <w:t>Europäische Autoren, deutsches Gesundheitssystem relevant</w:t>
      </w:r>
    </w:p>
    <w:p>
      <w:r>
        <w:rPr>
          <w:color w:val="5A7D3A"/>
          <w:sz w:val="18"/>
        </w:rPr>
        <w:t>https://pubmed.ncbi.nlm.nih.gov/42772315/</w:t>
      </w:r>
    </w:p>
    <w:p>
      <w:pPr>
        <w:pStyle w:val="Heading2"/>
      </w:pPr>
      <w:r>
        <w:t>Periphere arterielle Erkrankung belastet Frauen, Arme, Indigene überproportional; Screening-Potenzial</w:t>
      </w:r>
    </w:p>
    <w:p>
      <w:r>
        <w:rPr>
          <w:i/>
          <w:color w:val="666666"/>
          <w:sz w:val="18"/>
        </w:rPr>
        <w:t>Golledge J et al.  ·  Lancet  ·  03.10.2026  ·  PMID 42772314</w:t>
      </w:r>
    </w:p>
    <w:p>
      <w:r>
        <w:t>Drittes Lancet-Übersichtspapier der PAD-Serie beschreibt verheerende individuelle Folgen (Schmerz, Funktionsverlust, Arbeitsunfähigkeit, psychische Belastung) und globale Lasten, fokussiert auf Ungleichheitsabbau..</w:t>
      </w:r>
    </w:p>
    <w:p>
      <w:r>
        <w:rPr>
          <w:b/>
        </w:rPr>
        <w:t xml:space="preserve">Ergebnis: </w:t>
      </w:r>
      <w:r>
        <w:t>PAD-Mortalität 5-Jahres: 30–50%, übersteigt schwere Malignome und akuten Herzinfarkt. Frauen, First-Nations-Bevölkerungen, Nichtweiße, sozial Benachteiligte und Rural-Bewohner stark belastet. Empfehlungen: Multidisziplinarität, Awareness-Kampagnen, Screening- und Early-Management-Studien in unterversorgten Gruppen.</w:t>
      </w:r>
    </w:p>
    <w:p>
      <w:r>
        <w:rPr>
          <w:b/>
          <w:sz w:val="19"/>
        </w:rPr>
        <w:t xml:space="preserve">Übertragbarkeit: </w:t>
      </w:r>
      <w:r>
        <w:rPr>
          <w:sz w:val="19"/>
        </w:rPr>
        <w:t>Internationale Evidenz, Ungleichheitsaspekte auf Deutschland übertragbar</w:t>
      </w:r>
    </w:p>
    <w:p>
      <w:r>
        <w:rPr>
          <w:color w:val="5A7D3A"/>
          <w:sz w:val="18"/>
        </w:rPr>
        <w:t>https://pubmed.ncbi.nlm.nih.gov/42772314/</w:t>
      </w:r>
    </w:p>
    <w:p>
      <w:pPr>
        <w:pStyle w:val="Heading1"/>
      </w:pPr>
      <w:r>
        <w:t>Aufgenommen am 01.10.2026</w:t>
      </w:r>
    </w:p>
    <w:p>
      <w:pPr>
        <w:pStyle w:val="Heading2"/>
      </w:pPr>
      <w:r>
        <w:t>Kardiovaskulär-Metabolische Überlappung bei hospitalisierten Herzinsuffizienz-Patienten: stark assoziiert mit Mortalität und Neuaufnahmen</w:t>
      </w:r>
    </w:p>
    <w:p>
      <w:r>
        <w:rPr>
          <w:i/>
          <w:color w:val="666666"/>
          <w:sz w:val="18"/>
        </w:rPr>
        <w:t>Kittipibul V et al.  ·  JAMA Cardiol  ·  30.09.2026  ·  PMID 42814450</w:t>
      </w:r>
    </w:p>
    <w:p>
      <w:r>
        <w:t>Retrospektive Kohortenstudie US-weit (GWTG-HF-Register 2019-2025): 725.205 hospitalierte HI-Patienten analysiert zur Prävalenz und Prognoserelevanz von bis zu 4 kardiovaskulär-metabolischen Komorbiditäten.</w:t>
      </w:r>
    </w:p>
    <w:p>
      <w:r>
        <w:rPr>
          <w:b/>
        </w:rPr>
        <w:t xml:space="preserve">Ergebnis: </w:t>
      </w:r>
      <w:r>
        <w:t>71,9% hatten ≥2 CKM-Komorbiditäten (ACVD, CKD, Diabetes, Adipositas), nur 6,7% isolierte HI. Mit jeder zusätzlichen Komorbidität stieg die In-Hospital-Mortalität (z. B. 4 CKM bei HFrEF aOR 5,08 vs. nur HI), ebenso 1-Jahres-Mortalität (aHR 2,10 bei 4 CKM) und HI-Readmission (aHR 2,33), stärker in HFrEF als HFpEF.</w:t>
      </w:r>
    </w:p>
    <w:p>
      <w:r>
        <w:rPr>
          <w:b/>
          <w:sz w:val="19"/>
        </w:rPr>
        <w:t xml:space="preserve">Übertragbarkeit: </w:t>
      </w:r>
      <w:r>
        <w:rPr>
          <w:sz w:val="19"/>
        </w:rPr>
        <w:t>USA-Registry mit übertragbaren Patienten-Merkmalmustern; Komorbidität als unabhängiger Prognosefaktor.</w:t>
      </w:r>
    </w:p>
    <w:p>
      <w:r>
        <w:rPr>
          <w:color w:val="5A7D3A"/>
          <w:sz w:val="18"/>
        </w:rPr>
        <w:t>https://pubmed.ncbi.nlm.nih.gov/42814450/</w:t>
      </w:r>
    </w:p>
    <w:p>
      <w:pPr>
        <w:pStyle w:val="Heading2"/>
      </w:pPr>
      <w:r>
        <w:t>Fixdosis-HFrEF-Polypill erhöht Therapietreue, Sri-Lanka-RCT zeigt Sicherheit</w:t>
      </w:r>
    </w:p>
    <w:p>
      <w:r>
        <w:rPr>
          <w:i/>
          <w:color w:val="666666"/>
          <w:sz w:val="18"/>
        </w:rPr>
        <w:t>Agarwal A et al.  ·  JAMA Cardiol  ·  30.09.2026  ·  PMID 42814433</w:t>
      </w:r>
    </w:p>
    <w:p>
      <w:r>
        <w:t>Randomisierte Studie aus Sri Lanka zur Machbarkeit, Medication-Adherence und Sicherheit einer neuen Mehrfach-Wirkstoff-Fixdosis gegen übliche HFrEF-Therapie.</w:t>
      </w:r>
    </w:p>
    <w:p>
      <w:r>
        <w:rPr>
          <w:b/>
        </w:rPr>
        <w:t xml:space="preserve">Ergebnis: </w:t>
      </w:r>
      <w:r>
        <w:t>Fixdosis-Polypill zeigte Machbarkeit und Sicherheit; primärer Endpunkt: Verbesserte Medication-Adherence und Sicherheitsprofil. Detaillierte Zwischenergebnisse im Abstract nicht vollständig berichtet, aber Durchführbarkeit in einkommensschwacherem Umfeld demonstriert.</w:t>
      </w:r>
    </w:p>
    <w:p>
      <w:r>
        <w:rPr>
          <w:b/>
          <w:sz w:val="19"/>
        </w:rPr>
        <w:t xml:space="preserve">Übertragbarkeit: </w:t>
      </w:r>
      <w:r>
        <w:rPr>
          <w:sz w:val="19"/>
        </w:rPr>
        <w:t>Südostasiatischer Versorgungskontext; Modell für Polypill-Implementierung in Ländern mit niedrigen bis mittleren Ressourcen.</w:t>
      </w:r>
    </w:p>
    <w:p>
      <w:r>
        <w:rPr>
          <w:color w:val="5A7D3A"/>
          <w:sz w:val="18"/>
        </w:rPr>
        <w:t>https://pubmed.ncbi.nlm.nih.gov/42814433/</w:t>
      </w:r>
    </w:p>
    <w:p>
      <w:pPr>
        <w:pStyle w:val="Heading2"/>
      </w:pPr>
      <w:r>
        <w:t>Globale Herzinsuffizienz-Last 1990-2023: 56 Millionen Fälle mit großer geographischer Variation</w:t>
      </w:r>
    </w:p>
    <w:p>
      <w:r>
        <w:rPr>
          <w:i/>
          <w:color w:val="666666"/>
          <w:sz w:val="18"/>
        </w:rPr>
        <w:t>Johnson CO et al.  ·  JAMA Cardiol  ·  30.09.2026  ·  PMID 42814432</w:t>
      </w:r>
    </w:p>
    <w:p>
      <w:r>
        <w:t>Global Burden of Disease-Analyse der Herzinsuffizienz weltweit über drei Jahrzehnte mit Schätzungen nach Alter, Geschlecht, Ort und Ätiologie.</w:t>
      </w:r>
    </w:p>
    <w:p>
      <w:r>
        <w:rPr>
          <w:b/>
        </w:rPr>
        <w:t xml:space="preserve">Ergebnis: </w:t>
      </w:r>
      <w:r>
        <w:t>56,0 Mio. Herzinsuffizienz-Fälle global 2023 (95%-UI 49,9-62,2). Ischämische und hypertensive Herzerkrankung dominieren bei älteren Erwachsenen, regionale Unterschiede in Ätiologien: Rheumamitbeteiligung in Süd-/Südostasien, Alkoholbedingte HI in Osteuropa, Chagas in Lateinamerika. Eine Prävention durch Reduktion modifizierbarer Risikofaktoren wird als möglich dargestellt.</w:t>
      </w:r>
    </w:p>
    <w:p>
      <w:r>
        <w:rPr>
          <w:b/>
          <w:sz w:val="19"/>
        </w:rPr>
        <w:t xml:space="preserve">Übertragbarkeit: </w:t>
      </w:r>
      <w:r>
        <w:rPr>
          <w:sz w:val="19"/>
        </w:rPr>
        <w:t>Global umfassend erhobene Daten zu Krankheitslast und Ätiologien; Grundlage für Priorisierung präventiver Interventionen.</w:t>
      </w:r>
    </w:p>
    <w:p>
      <w:r>
        <w:rPr>
          <w:color w:val="5A7D3A"/>
          <w:sz w:val="18"/>
        </w:rPr>
        <w:t>https://pubmed.ncbi.nlm.nih.gov/42814432/</w:t>
      </w:r>
    </w:p>
    <w:p>
      <w:pPr>
        <w:pStyle w:val="Heading2"/>
      </w:pPr>
      <w:r>
        <w:t>Linksventrikulärer Thrombus nach Herzinfarkt: DOAC versus VKA ohne Unterschied bei Thrombuslösung</w:t>
      </w:r>
    </w:p>
    <w:p>
      <w:r>
        <w:rPr>
          <w:i/>
          <w:color w:val="666666"/>
          <w:sz w:val="18"/>
        </w:rPr>
        <w:t>Maslarska-Martens M et al.  ·  Clin Res Cardiol  ·  30.09.2026  ·  PMID 42814115</w:t>
      </w:r>
    </w:p>
    <w:p>
      <w:r>
        <w:t>Retrospektive Kohortenstudie an einer deutschen Universitätsklinik (Freiburg): 19.964 MI-Patienten gescreent, 166 (0,83%) mit linksventrikulärem Thrombus behandelt mit oraler Antikoagulation.</w:t>
      </w:r>
    </w:p>
    <w:p>
      <w:r>
        <w:rPr>
          <w:b/>
        </w:rPr>
        <w:t xml:space="preserve">Ergebnis: </w:t>
      </w:r>
      <w:r>
        <w:t>79% komplette Thrombuslösung (n=120 mit Follow-up); kein statistisch signifikanter Unterschied zwischen DOAC (87%) und VKA (79%; p=0,42). 38 klinische Ereignisse in 12 Monaten ohne signifikante Unterschiede zwischen Gruppen. DOACs nahmen über Zeit zu.</w:t>
      </w:r>
    </w:p>
    <w:p>
      <w:r>
        <w:rPr>
          <w:b/>
          <w:sz w:val="19"/>
        </w:rPr>
        <w:t xml:space="preserve">Übertragbarkeit: </w:t>
      </w:r>
      <w:r>
        <w:rPr>
          <w:sz w:val="19"/>
        </w:rPr>
        <w:t>Deutsche Klinikdaten von 2008-2022, vergleichbare Dokumentationspflichten und Behandlungsstandards.</w:t>
      </w:r>
    </w:p>
    <w:p>
      <w:r>
        <w:rPr>
          <w:color w:val="5A7D3A"/>
          <w:sz w:val="18"/>
        </w:rPr>
        <w:t>https://pubmed.ncbi.nlm.nih.gov/42814115/</w:t>
      </w:r>
    </w:p>
    <w:p>
      <w:pPr>
        <w:pStyle w:val="Heading2"/>
      </w:pPr>
      <w:r>
        <w:t>Neue Effektivitäts- und Sicherheits-Endpunkte für Vorhofflimmer-Ablations-Studien definiert</w:t>
      </w:r>
    </w:p>
    <w:p>
      <w:r>
        <w:rPr>
          <w:i/>
          <w:color w:val="666666"/>
          <w:sz w:val="18"/>
        </w:rPr>
        <w:t>Wang PJ et al.  ·  Circ Arrhythm Electrophysiol  ·  29.09.2026  ·  PMID 42808156</w:t>
      </w:r>
    </w:p>
    <w:p>
      <w:r>
        <w:t>AFA-ARC Initiative: Internationale Arbeitsgruppe mit FDA, HRS und Patienten-Vertreter überarbeitete Studiendesign und Endpunkte für klinische Prüfungen der Katheter-Ablation bei symptomatischem Vorhofflimmer.</w:t>
      </w:r>
    </w:p>
    <w:p>
      <w:r>
        <w:rPr>
          <w:b/>
        </w:rPr>
        <w:t xml:space="preserve">Ergebnis: </w:t>
      </w:r>
      <w:r>
        <w:t>Konsensus-Dokument mit revidierten Effektivitäts- und Sicherheits-Endpunkten sowie Studiendesign-Empfehlungen für AF-Ablations-Studien bei paroxysmalem, persistierendem und langjährig persistierendem Vorhofflimmer. Von der Heart Rhythm Society gebilligt.</w:t>
      </w:r>
    </w:p>
    <w:p>
      <w:r>
        <w:rPr>
          <w:b/>
          <w:sz w:val="19"/>
        </w:rPr>
        <w:t xml:space="preserve">Übertragbarkeit: </w:t>
      </w:r>
      <w:r>
        <w:rPr>
          <w:sz w:val="19"/>
        </w:rPr>
        <w:t>Internationale Expert:innen-Konvention mit FDA; Standards übertragbar auf deutsche und europäische Studienplanung.</w:t>
      </w:r>
    </w:p>
    <w:p>
      <w:r>
        <w:rPr>
          <w:color w:val="5A7D3A"/>
          <w:sz w:val="18"/>
        </w:rPr>
        <w:t>https://pubmed.ncbi.nlm.nih.gov/42808156/</w:t>
      </w:r>
    </w:p>
    <w:p>
      <w:pPr>
        <w:pStyle w:val="Heading1"/>
      </w:pPr>
      <w:r>
        <w:t>Aufgenommen am 30.09.2026</w:t>
      </w:r>
    </w:p>
    <w:p>
      <w:pPr>
        <w:pStyle w:val="Heading2"/>
      </w:pPr>
      <w:r>
        <w:t>Kariomyopathie-Zeichen vorhersagen Vorhofflimmern und Schlaganfall</w:t>
      </w:r>
    </w:p>
    <w:p>
      <w:r>
        <w:rPr>
          <w:i/>
          <w:color w:val="666666"/>
          <w:sz w:val="18"/>
        </w:rPr>
        <w:t>Kazi K et al.  ·  Europace  ·  02.09.2026  ·  PMID 42809232</w:t>
      </w:r>
    </w:p>
    <w:p>
      <w:r>
        <w:t>Studie untersuchte, wie die neue EHRA/HRS/APHRS/LHRS-Definition der atrialen Kardiomyopathie mit dem Auftreten von Vorhofflimmern, Herzinsuffizienz und Schlaganfall assoziiert ist.</w:t>
      </w:r>
    </w:p>
    <w:p>
      <w:r>
        <w:rPr>
          <w:b/>
        </w:rPr>
        <w:t xml:space="preserve">Ergebnis: </w:t>
      </w:r>
      <w:r>
        <w:t>Bei 33.485 Patienten mit erhaltener linksventrikulärer Auswurffraktion zeigten Patienten mit Zeichen der atrialen Kardiomyopathie erhöhte Risiken für Vorhofflimmern, Herzinsuffizienz und Schlaganfall. Die Definition bot ein Framework zur Risikostratifizierung in dieser Population.</w:t>
      </w:r>
    </w:p>
    <w:p>
      <w:r>
        <w:rPr>
          <w:b/>
          <w:sz w:val="19"/>
        </w:rPr>
        <w:t xml:space="preserve">Übertragbarkeit: </w:t>
      </w:r>
      <w:r>
        <w:rPr>
          <w:sz w:val="19"/>
        </w:rPr>
        <w:t>UK und europäische Register, vergleichbare klinische Standards und Datenerfassung.</w:t>
      </w:r>
    </w:p>
    <w:p>
      <w:r>
        <w:rPr>
          <w:color w:val="5A7D3A"/>
          <w:sz w:val="18"/>
        </w:rPr>
        <w:t>https://pubmed.ncbi.nlm.nih.gov/42809232/</w:t>
      </w:r>
    </w:p>
    <w:p>
      <w:pPr>
        <w:pStyle w:val="Heading2"/>
      </w:pPr>
      <w:r>
        <w:t>KI-generiertes EKG-Alter verbessert Schlaganfallrisiko-Vorhersage bei Vorhofflimmern mit CHA₂DS₂-VA-Score 1</w:t>
      </w:r>
    </w:p>
    <w:p>
      <w:r>
        <w:rPr>
          <w:i/>
          <w:color w:val="666666"/>
          <w:sz w:val="18"/>
        </w:rPr>
        <w:t>Wu CS et al.  ·  J Am Heart Assoc  ·  29.09.2026  ·  PMID 42808453</w:t>
      </w:r>
    </w:p>
    <w:p>
      <w:r>
        <w:t>Studie testete, ob künstliche Intelligenz-abgeleitetes EKG-Alter die Risikostratifizierung für ischämischen Schlaganfall bei Patienten mit Vorhofflimmern und CHA₂DS₂-VA-Score 1 (Grenzfall für Antikoagulation) verbessert.</w:t>
      </w:r>
    </w:p>
    <w:p>
      <w:r>
        <w:rPr>
          <w:b/>
        </w:rPr>
        <w:t xml:space="preserve">Ergebnis: </w:t>
      </w:r>
      <w:r>
        <w:t>Bei 832 Patienten mit Score 1: EA-CHA₂DS₂-VA-Score ≥2 (n=315) zeigte versus &lt;2 (n=517) HR für Schlaganfall/TIA 1,82 (95%-KI 1,06–3,13; p=0,028) und All-cause-Mortalität HR 2,22 (95%-KI 1,43–3,45; p&lt;0,001). EKG-Alter erhöhte Diskriminierung für Risikostratifizierung.</w:t>
      </w:r>
    </w:p>
    <w:p>
      <w:r>
        <w:rPr>
          <w:b/>
          <w:sz w:val="19"/>
        </w:rPr>
        <w:t xml:space="preserve">Übertragbarkeit: </w:t>
      </w:r>
      <w:r>
        <w:rPr>
          <w:sz w:val="19"/>
        </w:rPr>
        <w:t>USA-Daten, aber EKG-Verarbeitung geräteunabhängig; Grenzfall-Risikogruppe auch für deutsche Praxis relevant.</w:t>
      </w:r>
    </w:p>
    <w:p>
      <w:r>
        <w:rPr>
          <w:color w:val="5A7D3A"/>
          <w:sz w:val="18"/>
        </w:rPr>
        <w:t>https://pubmed.ncbi.nlm.nih.gov/42808453/</w:t>
      </w:r>
    </w:p>
    <w:p>
      <w:pPr>
        <w:pStyle w:val="Heading2"/>
      </w:pPr>
      <w:r>
        <w:t>Apikale Rotation vorhersagt Linksventrikulären Thrombus nach vorderem Herzinfarkt besser als LVEF</w:t>
      </w:r>
    </w:p>
    <w:p>
      <w:r>
        <w:rPr>
          <w:i/>
          <w:color w:val="666666"/>
          <w:sz w:val="18"/>
        </w:rPr>
        <w:t>Jones J et al.  ·  Eur Heart J Cardiovasc Imaging  ·  29.09.2026  ·  PMID 42806427</w:t>
      </w:r>
    </w:p>
    <w:p>
      <w:r>
        <w:t>Prospektive multizentrische Analyse bei 270 Patienten mit anteriorem Myokardinfarkt zur Vorhersage von linksventrikulären Thromben durch apikale Rotation mittels Speckle-Tracking-Echokardiographie.</w:t>
      </w:r>
    </w:p>
    <w:p>
      <w:r>
        <w:rPr>
          <w:b/>
        </w:rPr>
        <w:t xml:space="preserve">Ergebnis: </w:t>
      </w:r>
      <w:r>
        <w:t>LV-Thrombus entwickelten 33% (89/270 Patienten). Apikale Rotation war bei Thrombus signifikant niedriger (5,0° vs 9,8°, p&lt;0,001). Nach multivariater Anpassung: OR 0,45 pro Grad höherer Rotation (p&lt;0,001); AUC 0,91 vs 0,62 (LVEF), p&lt;0,001. Apikale Rotation blieb auch bei LVEF ≤40% superior (AUC 0,89 vs 0,48).</w:t>
      </w:r>
    </w:p>
    <w:p>
      <w:r>
        <w:rPr>
          <w:b/>
          <w:sz w:val="19"/>
        </w:rPr>
        <w:t xml:space="preserve">Übertragbarkeit: </w:t>
      </w:r>
      <w:r>
        <w:rPr>
          <w:sz w:val="19"/>
        </w:rPr>
        <w:t>UK-Zentren mit standardisierter Echokardiographie, vergleichbar mit deutschem Standard.</w:t>
      </w:r>
    </w:p>
    <w:p>
      <w:r>
        <w:rPr>
          <w:color w:val="5A7D3A"/>
          <w:sz w:val="18"/>
        </w:rPr>
        <w:t>https://pubmed.ncbi.nlm.nih.gov/42806427/</w:t>
      </w:r>
    </w:p>
    <w:p>
      <w:pPr>
        <w:pStyle w:val="Heading2"/>
      </w:pPr>
      <w:r>
        <w:t>LIRA-Methode für TAVR bei bikuspidalen Aortenklappen sicher und reproduzierbar</w:t>
      </w:r>
    </w:p>
    <w:p>
      <w:r>
        <w:rPr>
          <w:i/>
          <w:color w:val="666666"/>
          <w:sz w:val="18"/>
        </w:rPr>
        <w:t>Bellini B et al.  ·  JACC Cardiovasc Interv  ·  28.09.2026  ·  PMID 42805721</w:t>
      </w:r>
    </w:p>
    <w:p>
      <w:r>
        <w:t>Multizentrische prospektive Analyse der LIRA-Methode (Level of Implantation at the Raphe) zur Größenbestimmung bei transkatheter Aortenklappenersatz in bikuspidaler Anatomie.</w:t>
      </w:r>
    </w:p>
    <w:p>
      <w:r>
        <w:rPr>
          <w:b/>
        </w:rPr>
        <w:t xml:space="preserve">Ergebnis: </w:t>
      </w:r>
      <w:r>
        <w:t>Bei 215 Patienten mit bikuspidaler Aortenklappe war Prozessersatz in 74,4% möglich. Device-Erfolg nach 30 Tagen: 93%, paravalvuläre Leckage ≥mittelgradig 4,6%, Schrittmacherimplantationen 10,7%, 1-Jahres-Mortalität 5,7%. Die LIRA-Methode zeigte exzellente Reproduzierbarkeit zwischen Zentren (κ=0,85).</w:t>
      </w:r>
    </w:p>
    <w:p>
      <w:r>
        <w:rPr>
          <w:b/>
          <w:sz w:val="19"/>
        </w:rPr>
        <w:t xml:space="preserve">Übertragbarkeit: </w:t>
      </w:r>
      <w:r>
        <w:rPr>
          <w:sz w:val="19"/>
        </w:rPr>
        <w:t>Italienisch-europäische und Schweizer Zentren, übertragbar auf deutsche Kliniken mit Herzklappenexpertise.</w:t>
      </w:r>
    </w:p>
    <w:p>
      <w:r>
        <w:rPr>
          <w:color w:val="5A7D3A"/>
          <w:sz w:val="18"/>
        </w:rPr>
        <w:t>https://pubmed.ncbi.nlm.nih.gov/42805721/</w:t>
      </w:r>
    </w:p>
    <w:p>
      <w:pPr>
        <w:pStyle w:val="Heading2"/>
      </w:pPr>
      <w:r>
        <w:t>Finerenone bremst Nierenfunktionsverlust auch nach Herzinsuffizienz-Hospitalisierung</w:t>
      </w:r>
    </w:p>
    <w:p>
      <w:r>
        <w:rPr>
          <w:i/>
          <w:color w:val="666666"/>
          <w:sz w:val="18"/>
        </w:rPr>
        <w:t>Shafi T et al.  ·  Eur J Heart Fail  ·  28.09.2026  ·  PMID 42803273</w:t>
      </w:r>
    </w:p>
    <w:p>
      <w:r>
        <w:t>Post-hoc-Analyse der FIDELITY-Studien (gepoolte FIDELIO-DKD und FIGARO-DKD) untersuchte, ob Finerenone den Rückgang der geschätzten glomerulären Filtrationsrate (eGFR) auch nach Herzinsuffizienz-Hospitalisierung verlangsamt.</w:t>
      </w:r>
    </w:p>
    <w:p>
      <w:r>
        <w:rPr>
          <w:b/>
        </w:rPr>
        <w:t xml:space="preserve">Ergebnis: </w:t>
      </w:r>
      <w:r>
        <w:t>Vor Herzinsuffizienz-Hospitalisierung sank eGFR unter Finerenone um 2,68 mL/min/1,73m²/Jahr langsamer als Placebo (95%-KI 0,87–4,49), nach Hospitalisierung um 0,96 mL/min/1,73m²/Jahr (95%-KI −0,99–2,91). Der renale Schutzeffekt persistierte auch nach Herzinsuffizienz-Ereignis.</w:t>
      </w:r>
    </w:p>
    <w:p>
      <w:r>
        <w:rPr>
          <w:b/>
          <w:sz w:val="19"/>
        </w:rPr>
        <w:t xml:space="preserve">Übertragbarkeit: </w:t>
      </w:r>
      <w:r>
        <w:rPr>
          <w:sz w:val="19"/>
        </w:rPr>
        <w:t>Internationale Studien, deutsches DMP-System berücksichtigt Finerenone für Diabetiker mit CKD, übertragbar.</w:t>
      </w:r>
    </w:p>
    <w:p>
      <w:r>
        <w:rPr>
          <w:color w:val="5A7D3A"/>
          <w:sz w:val="18"/>
        </w:rPr>
        <w:t>https://pubmed.ncbi.nlm.nih.gov/42803273/</w:t>
      </w:r>
    </w:p>
    <w:p>
      <w:pPr>
        <w:pStyle w:val="Heading2"/>
      </w:pPr>
      <w:r>
        <w:t>Nicht-ischämische Spätgadolinium-Anreicherung im Septum nach Infarkt erklärt Herzinsuffizienz-Risiko besser</w:t>
      </w:r>
    </w:p>
    <w:p>
      <w:r>
        <w:rPr>
          <w:i/>
          <w:color w:val="666666"/>
          <w:sz w:val="18"/>
        </w:rPr>
        <w:t>Zhou P et al.  ·  J Am Heart Assoc  ·  24.09.2026  ·  PMID 42786658</w:t>
      </w:r>
    </w:p>
    <w:p>
      <w:r>
        <w:t>Analyse von 948 Patienten mit Myokardinfarkt zum Vorkommen, zur Verteilung und zur prognostischen Bedeutung nicht-ischämischer Spätgadolinium-Anreicherung (NI-LGE) mittels Kardio-MRT.</w:t>
      </w:r>
    </w:p>
    <w:p>
      <w:r>
        <w:rPr>
          <w:b/>
        </w:rPr>
        <w:t xml:space="preserve">Ergebnis: </w:t>
      </w:r>
      <w:r>
        <w:t>NI-LGE in 78/948 Patienten (8,2%), septal in 100%. Nach Median 69,6 Monaten: 99 HF- und 63 plötzliche Todesfälle. NI-LGE erhöhte HF-Risiko (sHR 5,98, p&lt;0,001), nicht aber plötzlichen Herztod. C-Index für HF stieg von 0,84 auf 0,87 mit NI-LGE (p&lt;0,001). Septum+freie Wand-Beteiligung riskanter als isoliert septal (sHR 2,42, p=0,02).</w:t>
      </w:r>
    </w:p>
    <w:p>
      <w:r>
        <w:rPr>
          <w:b/>
          <w:sz w:val="19"/>
        </w:rPr>
        <w:t xml:space="preserve">Übertragbarkeit: </w:t>
      </w:r>
      <w:r>
        <w:rPr>
          <w:sz w:val="19"/>
        </w:rPr>
        <w:t>China, aber kardiales MRT und CMR-Protokoll international standardisiert, auf deutsches Datenformat übertragbar.</w:t>
      </w:r>
    </w:p>
    <w:p>
      <w:r>
        <w:rPr>
          <w:color w:val="5A7D3A"/>
          <w:sz w:val="18"/>
        </w:rPr>
        <w:t>https://pubmed.ncbi.nlm.nih.gov/42786658/</w:t>
      </w:r>
    </w:p>
    <w:p>
      <w:pPr>
        <w:pStyle w:val="Heading1"/>
      </w:pPr>
      <w:r>
        <w:t>Aufgenommen am 29.09.2026</w:t>
      </w:r>
    </w:p>
    <w:p>
      <w:pPr>
        <w:pStyle w:val="Heading2"/>
      </w:pPr>
      <w:r>
        <w:t>Residuale Mitralklappeninsuffizienz nach transkatheter Kantenfixation vorhersagt 5-Jahres-Mortalität</w:t>
      </w:r>
    </w:p>
    <w:p>
      <w:r>
        <w:rPr>
          <w:i/>
          <w:color w:val="666666"/>
          <w:sz w:val="18"/>
        </w:rPr>
        <w:t>Rottländer D et al.  ·  JACC Cardiovasc Interv  ·  28.09.2026  ·  PMID 42805718</w:t>
      </w:r>
    </w:p>
    <w:p>
      <w:r>
        <w:t>Deutsche Multicenter-Registerstudie (MITRA-PRO) mit 1.491 Patienten zum Einfluss der residualen Mitralklappeninsuffizienz auf die Langzeitmortalität nach transkatheter Kantenfixation (M-TEER).</w:t>
      </w:r>
    </w:p>
    <w:p>
      <w:r>
        <w:rPr>
          <w:b/>
        </w:rPr>
        <w:t xml:space="preserve">Ergebnis: </w:t>
      </w:r>
      <w:r>
        <w:t>5-Jahres-Mortalität 55,1% bei minimaler Insuffizienz versus 67,7% bei relevanter Insuffizienz (MitraScore-Gruppen). Die Beziehung zwischen intraprozeduralem MitraScore und Mortalität war nahezu linear. Residuale Mitralklappeninsuffizienz war ein zeitabhängiger unabhängiger Prädiktor für erhöhte Langzeitmortalität.</w:t>
      </w:r>
    </w:p>
    <w:p>
      <w:r>
        <w:rPr>
          <w:b/>
          <w:sz w:val="19"/>
        </w:rPr>
        <w:t xml:space="preserve">Übertragbarkeit: </w:t>
      </w:r>
      <w:r>
        <w:rPr>
          <w:sz w:val="19"/>
        </w:rPr>
        <w:t>Deutsche Klinikdaten, direkt auf hiesiges Versorgungssystem übertragbar</w:t>
      </w:r>
    </w:p>
    <w:p>
      <w:r>
        <w:rPr>
          <w:color w:val="5A7D3A"/>
          <w:sz w:val="18"/>
        </w:rPr>
        <w:t>https://pubmed.ncbi.nlm.nih.gov/42805718/</w:t>
      </w:r>
    </w:p>
    <w:p>
      <w:pPr>
        <w:pStyle w:val="Heading2"/>
      </w:pPr>
      <w:r>
        <w:t>Ein-Stent-PCI bei echten Bifurkationen unter OCT-Führung senkt Ereignisrate</w:t>
      </w:r>
    </w:p>
    <w:p>
      <w:r>
        <w:rPr>
          <w:i/>
          <w:color w:val="666666"/>
          <w:sz w:val="18"/>
        </w:rPr>
        <w:t>Andreasen LD et al.  ·  JACC Cardiovasc Interv  ·  28.09.2026  ·  PMID 42805715</w:t>
      </w:r>
    </w:p>
    <w:p>
      <w:r>
        <w:t>Post-hoc-Analyse des europäischen OCTOBER-Trials mit 1.201 Patienten mit echten Koronarbifurkationen zur Vorhersage und Outcome-Assoziation von Ein- versus Zwei-Stent-Strategie mit und ohne optische Kohärenztomographie-Führung.</w:t>
      </w:r>
    </w:p>
    <w:p>
      <w:r>
        <w:rPr>
          <w:b/>
        </w:rPr>
        <w:t xml:space="preserve">Ergebnis: </w:t>
      </w:r>
      <w:r>
        <w:t>Zwei-Stent-Strategie war prädiktiert durch akute klinische Präsentation (aOR 1,73), linke Hauptstammbifurkation (aOR 2,04), Seitenastvariabler Länge (aOR 1,06 pro mm) und Stenose-Grad (aOR 1,04 pro 1%). In der Behandlungsanalyse war Ein-Stent mit niedrigerer 2-Jahres-MACE assoziiert (9,0% vs. 13,9%; aHR 1,53). Die niedrigsten Ereignisraten zeigten sich mit OCT-geführtem Ein-Stent.</w:t>
      </w:r>
    </w:p>
    <w:p>
      <w:r>
        <w:rPr>
          <w:b/>
          <w:sz w:val="19"/>
        </w:rPr>
        <w:t xml:space="preserve">Übertragbarkeit: </w:t>
      </w:r>
      <w:r>
        <w:rPr>
          <w:sz w:val="19"/>
        </w:rPr>
        <w:t>Europa, vergleichbare Gesundheitssysteme, interventionelle Standard-Setting</w:t>
      </w:r>
    </w:p>
    <w:p>
      <w:r>
        <w:rPr>
          <w:color w:val="5A7D3A"/>
          <w:sz w:val="18"/>
        </w:rPr>
        <w:t>https://pubmed.ncbi.nlm.nih.gov/42805715/</w:t>
      </w:r>
    </w:p>
    <w:p>
      <w:pPr>
        <w:pStyle w:val="Heading2"/>
      </w:pPr>
      <w:r>
        <w:t>Natriurese-gesteuerte Diuretika-Therapie bei akuter Herzinsuffizienz zeigt Geschlechtsdifferenzen</w:t>
      </w:r>
    </w:p>
    <w:p>
      <w:r>
        <w:rPr>
          <w:i/>
          <w:color w:val="666666"/>
          <w:sz w:val="18"/>
        </w:rPr>
        <w:t>Qin H et al.  ·  Clin Res Cardiol  ·  28.09.2026  ·  PMID 42803951</w:t>
      </w:r>
    </w:p>
    <w:p>
      <w:r>
        <w:t>Prospektive randomisierte Studie (PUSH-AHF) mit 310 Patienten (45% Frauen) zur geschlechtsspezifischen Wirksamkeit einer natriurese-gesteuerten versus Standard-Dekongestion bei akuter Herzinsuffizienz.</w:t>
      </w:r>
    </w:p>
    <w:p>
      <w:r>
        <w:rPr>
          <w:b/>
        </w:rPr>
        <w:t xml:space="preserve">Ergebnis: </w:t>
      </w:r>
      <w:r>
        <w:t>Bei Männern führte natriurese-gesteuerte Therapie zu größerer 24h-Natriurese (443 vs. 354 mmol; p=0,004) und niedrigerem Risiko für 180-Tage-Rehospitalisierung oder Mortalität (HR 0,51; p=0,011). Bei Frauen fand sich kein signifikanter Unterschied (HR 1,40; p=0,368; p-Interaktion=0,026). Die natriuretische Antwort war bei Frauen unter interventioneller Strategie paradox niedriger.</w:t>
      </w:r>
    </w:p>
    <w:p>
      <w:r>
        <w:rPr>
          <w:b/>
          <w:sz w:val="19"/>
        </w:rPr>
        <w:t xml:space="preserve">Übertragbarkeit: </w:t>
      </w:r>
      <w:r>
        <w:rPr>
          <w:sz w:val="19"/>
        </w:rPr>
        <w:t>Niederlande, vergleichbares Versicherungssystem, relevante Geschlechtsdifferenzen</w:t>
      </w:r>
    </w:p>
    <w:p>
      <w:r>
        <w:rPr>
          <w:color w:val="5A7D3A"/>
          <w:sz w:val="18"/>
        </w:rPr>
        <w:t>https://pubmed.ncbi.nlm.nih.gov/42803951/</w:t>
      </w:r>
    </w:p>
    <w:p>
      <w:pPr>
        <w:pStyle w:val="Heading2"/>
      </w:pPr>
      <w:r>
        <w:t>Kalium-Binder bei Herzinsuffizienz und Hyperkaliämie unterscheiden sich in kardiovaskulären Outcomes</w:t>
      </w:r>
    </w:p>
    <w:p>
      <w:r>
        <w:rPr>
          <w:i/>
          <w:color w:val="666666"/>
          <w:sz w:val="18"/>
        </w:rPr>
        <w:t>Fauchier L et al.  ·  ESC Heart Fail  ·  26.09.2026  ·  PMID 42802363</w:t>
      </w:r>
    </w:p>
    <w:p>
      <w:r>
        <w:t>Retrospektive Observationsstudie in TriNetX-Netzwerk mit über 20.000 Patienten zum Vergleich von Patiromer, Natriumzirkoniocyclosilikat und Natriumpolystyrensulfonat bei Herzinsuffizienz mit Hyperkaliämie.</w:t>
      </w:r>
    </w:p>
    <w:p>
      <w:r>
        <w:rPr>
          <w:b/>
        </w:rPr>
        <w:t xml:space="preserve">Ergebnis: </w:t>
      </w:r>
      <w:r>
        <w:t>Patiromer zeigte gegenüber Natriumpolystyrensulfonat niedrigeres Risiko für Herzinsuffizienz-Hospitalisierung (HR 0,573) und kardiovaskuläre Hospitalisierung (HR 0,737), aber leicht höhere Mortalität (HR 1,096). Natriumzirkoniocyclosilikat war mit erhöhten Risiken für Tod (HR 1,139), Herzinsuffizienz-Hospitalisierung (HR 1,184) und Myokardinfarkt (HR 1,132) assoziiert.</w:t>
      </w:r>
    </w:p>
    <w:p>
      <w:r>
        <w:rPr>
          <w:b/>
          <w:sz w:val="19"/>
        </w:rPr>
        <w:t xml:space="preserve">Übertragbarkeit: </w:t>
      </w:r>
      <w:r>
        <w:rPr>
          <w:sz w:val="19"/>
        </w:rPr>
        <w:t>USA-Daten, aber Sicherheits- und Effektivitätsbefunde grundsätzlich übertragbar</w:t>
      </w:r>
    </w:p>
    <w:p>
      <w:r>
        <w:rPr>
          <w:color w:val="5A7D3A"/>
          <w:sz w:val="18"/>
        </w:rPr>
        <w:t>https://pubmed.ncbi.nlm.nih.gov/42802363/</w:t>
      </w:r>
    </w:p>
    <w:p>
      <w:pPr>
        <w:pStyle w:val="Heading2"/>
      </w:pPr>
      <w:r>
        <w:t>Proaktives Herzinsuffizienz-Screening bei Adipositas zeigt hohe Akzeptanz in Primärversorgung</w:t>
      </w:r>
    </w:p>
    <w:p>
      <w:r>
        <w:rPr>
          <w:i/>
          <w:color w:val="666666"/>
          <w:sz w:val="18"/>
        </w:rPr>
        <w:t>Motiram PA et al.  ·  ESC Heart Fail  ·  28.09.2026  ·  PMID 42802361</w:t>
      </w:r>
    </w:p>
    <w:p>
      <w:r>
        <w:t>Prospektive randomisierte Studie (SCORHFE-Trial) zur Machbarkeit und Akzeptanz eines multimodalen Herzinsuffizienz-Screenings (Anamnese, körperliche Untersuchung, EKG, Echokardiographie) bei 420 adipösen Erwachsenen (45+ Jahre) ohne bekannte Herzerkrankung in der niederländischen Primärversorgung.</w:t>
      </w:r>
    </w:p>
    <w:p>
      <w:r>
        <w:rPr>
          <w:b/>
        </w:rPr>
        <w:t xml:space="preserve">Ergebnis: </w:t>
      </w:r>
      <w:r>
        <w:t>Von 746 Interessierten wurden 629 gescreent und 420 randomisiert. In einer zufälligen Teilstichprobe (n=50) gaben 92% der Teilnehmer an, die Screening-Dauer akzeptabel zu finden, 94% berichten niedrige Verfahrensbelastung, 92% unterstützen routinemäßige Implementierung. Median-BMI 35,0 kg/m², 98,4% mit zentraler Adipositas, 23,1% mit ≥2 kardioemetabolischen Risikofaktoren.</w:t>
      </w:r>
    </w:p>
    <w:p>
      <w:r>
        <w:rPr>
          <w:b/>
          <w:sz w:val="19"/>
        </w:rPr>
        <w:t xml:space="preserve">Übertragbarkeit: </w:t>
      </w:r>
      <w:r>
        <w:rPr>
          <w:sz w:val="19"/>
        </w:rPr>
        <w:t>Niederlande, vergleichbares Versicherungssystem, primärärztliche Struktur</w:t>
      </w:r>
    </w:p>
    <w:p>
      <w:r>
        <w:rPr>
          <w:color w:val="5A7D3A"/>
          <w:sz w:val="18"/>
        </w:rPr>
        <w:t>https://pubmed.ncbi.nlm.nih.gov/42802361/</w:t>
      </w:r>
    </w:p>
    <w:p>
      <w:pPr>
        <w:pStyle w:val="Heading2"/>
      </w:pPr>
      <w:r>
        <w:t>Adenosin-Rezeptor-Signaling als therapeutisches Ziel für Myokardfibrose identifiziert</w:t>
      </w:r>
    </w:p>
    <w:p>
      <w:r>
        <w:rPr>
          <w:i/>
          <w:color w:val="666666"/>
          <w:sz w:val="18"/>
        </w:rPr>
        <w:t>Zhang H et al.  ·  Science  ·  24.09.2026  ·  PMID 42784676</w:t>
      </w:r>
    </w:p>
    <w:p>
      <w:r>
        <w:t>Grundlagenforschung mit iPSC-basiertem Hochdurchsatz-Screening zur Identifikation antifibrotischer Substanzen und Validierung in humanem Herzmuskelgewebe sowie Tiermodellen der Herzinsuffizienz mit Charakterisierung des zugrundeliegenden atypischen Adenosin-Rezeptor-Signalwegs.</w:t>
      </w:r>
    </w:p>
    <w:p>
      <w:r>
        <w:rPr>
          <w:b/>
        </w:rPr>
        <w:t xml:space="preserve">Ergebnis: </w:t>
      </w:r>
      <w:r>
        <w:t>Das Screening identifizierte CGS15943 als Leitverbindung. Mechanistische Studien offenbarten einen atypischen Adenosin-Rezeptor-abhängigen Signalweg über Gβγ-Proteine mit Aktivierung von PI3K-AKT und YAP. CGS unterdrückte diesen Signalweg, reduzierte fibrotische Genexpression und Fibroblast-Aktivierung in iPSC-Kardiomyozyten, 3D-Herzgeweben und Herzinsuffizienz-Tiermodellen.</w:t>
      </w:r>
    </w:p>
    <w:p>
      <w:r>
        <w:rPr>
          <w:b/>
          <w:sz w:val="19"/>
        </w:rPr>
        <w:t xml:space="preserve">Übertragbarkeit: </w:t>
      </w:r>
      <w:r>
        <w:rPr>
          <w:sz w:val="19"/>
        </w:rPr>
        <w:t>USA, aber mit humanem iPSC- und Herzgewebemodell, translationaler Mechanismus identifiziert</w:t>
      </w:r>
    </w:p>
    <w:p>
      <w:r>
        <w:rPr>
          <w:color w:val="5A7D3A"/>
          <w:sz w:val="18"/>
        </w:rPr>
        <w:t>https://pubmed.ncbi.nlm.nih.gov/42784676/</w:t>
      </w:r>
    </w:p>
    <w:p>
      <w:pPr>
        <w:pStyle w:val="Heading1"/>
      </w:pPr>
      <w:r>
        <w:t>Aufgenommen am 28.09.2026</w:t>
      </w:r>
    </w:p>
    <w:p>
      <w:pPr>
        <w:pStyle w:val="Heading2"/>
      </w:pPr>
      <w:r>
        <w:t>HFrEF-Medikamente nach Erholung von Vorhofflimmern-Kardiomyopathie sicher absetzbar</w:t>
      </w:r>
    </w:p>
    <w:p>
      <w:r>
        <w:rPr>
          <w:i/>
          <w:color w:val="666666"/>
          <w:sz w:val="18"/>
        </w:rPr>
        <w:t>Cho KK et al.  ·  Int J Cardiol  ·  27.09.2026  ·  PMID 42801916</w:t>
      </w:r>
    </w:p>
    <w:p>
      <w:r>
        <w:t>WITHDRAW-AF-Studie: Kosten-Nutzen-Analyse des Absetzens von Herzinsuffizienz-Pharmaka bei Patienten mit erholter Vorhofflimmern-vermittelter Kardiomyopathie nach Ablation.</w:t>
      </w:r>
    </w:p>
    <w:p>
      <w:r>
        <w:rPr>
          <w:b/>
        </w:rPr>
        <w:t xml:space="preserve">Ergebnis: </w:t>
      </w:r>
      <w:r>
        <w:t>Absetzgruppe sparte 1031 USD pro Patient in den ersten Monaten; über 5 Jahre projizierte Kostenreduktion 3901 vs 8446 USD. Gehstrecke (6-Minutentest) zeigte in 61,8% Vorteile für Absetzen; VO2max in 68,1%; Lebensqualität vergleichbar (QALY-Differenz 0,003).</w:t>
      </w:r>
    </w:p>
    <w:p>
      <w:r>
        <w:rPr>
          <w:b/>
          <w:sz w:val="19"/>
        </w:rPr>
        <w:t xml:space="preserve">Übertragbarkeit: </w:t>
      </w:r>
      <w:r>
        <w:rPr>
          <w:sz w:val="19"/>
        </w:rPr>
        <w:t>Australische Daten; Versorgungsmodell für spezialisierte Ablationszentren transferierbar</w:t>
      </w:r>
    </w:p>
    <w:p>
      <w:r>
        <w:rPr>
          <w:color w:val="5A7D3A"/>
          <w:sz w:val="18"/>
        </w:rPr>
        <w:t>https://pubmed.ncbi.nlm.nih.gov/42801916/</w:t>
      </w:r>
    </w:p>
    <w:p>
      <w:pPr>
        <w:pStyle w:val="Heading2"/>
      </w:pPr>
      <w:r>
        <w:t>Herzinsuffizienz-Phänotypen bei angeborenen Herzfehlern: EF-basierte Risikostratifikation wirksam</w:t>
      </w:r>
    </w:p>
    <w:p>
      <w:r>
        <w:rPr>
          <w:i/>
          <w:color w:val="666666"/>
          <w:sz w:val="18"/>
        </w:rPr>
        <w:t>Moustafa A et al.  ·  Am Heart J  ·  26.09.2026  ·  PMID 42800497</w:t>
      </w:r>
    </w:p>
    <w:p>
      <w:r>
        <w:t>Retrospektive Kohorte von 1303 Erwachsenen mit angeborenen Herzfehlern und Herzinsuffizienz, klasssifiziert nach EF-Phänotypen (HFrEF, HFmrEF, HFpEF).</w:t>
      </w:r>
    </w:p>
    <w:p>
      <w:r>
        <w:rPr>
          <w:b/>
        </w:rPr>
        <w:t xml:space="preserve">Ergebnis: </w:t>
      </w:r>
      <w:r>
        <w:t>HFrEF (23%) versus HFmrEF (42%) versus HFpEF (34%): HFrEF zeigte höchstes adjustiertes Hospitalisierungsrisiko (HR 1,52, p=0,005) und kardiovaskuläres Todesfallrisiko (HR 1,74, p=0,002). HF-Therapie wirksam in HFrEF mit stärkster Assoziation; keine signifikante Assoziation in HFpEF. Prognostische Unterschiede bestätigten EF-basiertes Managementkonzept.</w:t>
      </w:r>
    </w:p>
    <w:p>
      <w:r>
        <w:rPr>
          <w:b/>
          <w:sz w:val="19"/>
        </w:rPr>
        <w:t xml:space="preserve">Übertragbarkeit: </w:t>
      </w:r>
      <w:r>
        <w:rPr>
          <w:sz w:val="19"/>
        </w:rPr>
        <w:t>US-Zentrum; EF-Phänotypisierung international etabliert und in Deutschland anwendbar</w:t>
      </w:r>
    </w:p>
    <w:p>
      <w:r>
        <w:rPr>
          <w:color w:val="5A7D3A"/>
          <w:sz w:val="18"/>
        </w:rPr>
        <w:t>https://pubmed.ncbi.nlm.nih.gov/42800497/</w:t>
      </w:r>
    </w:p>
    <w:p>
      <w:pPr>
        <w:pStyle w:val="Heading2"/>
      </w:pPr>
      <w:r>
        <w:t>Obere gastrointestinale Blutungen nach Herzinfarkt: 20 Jahre Trendanalyse schwedischer Daten</w:t>
      </w:r>
    </w:p>
    <w:p>
      <w:r>
        <w:rPr>
          <w:i/>
          <w:color w:val="666666"/>
          <w:sz w:val="18"/>
        </w:rPr>
        <w:t>Wärme J et al.  ·  Eur J Prev Cardiol  ·  26.09.2026  ·  PMID 42800055</w:t>
      </w:r>
    </w:p>
    <w:p>
      <w:r>
        <w:t>SWEDEHEART-Registerstudie: Blutungskomplikationen nach Myokardinfarkt unter antithrombotischer Therapie von 1999-2020 analysiert – zeitliche Trends in Relation zu therapeutischen Veränderungen.</w:t>
      </w:r>
    </w:p>
    <w:p>
      <w:r>
        <w:rPr>
          <w:b/>
        </w:rPr>
        <w:t xml:space="preserve">Ergebnis: </w:t>
      </w:r>
      <w:r>
        <w:t>Blutungshospitalisierungen stiegen von 2,4% auf 4,5% (Peak 4,7% 2013-14), während MACCE von 20,1% auf 9,4% sank. Gastrointestinaltrakt war häufigster Blutungsort; oberere GI-Blutung überwiegend betroffen. Trends korrelieren mit intensivierter Antithrombose und invasiven Strategien.</w:t>
      </w:r>
    </w:p>
    <w:p>
      <w:r>
        <w:rPr>
          <w:b/>
          <w:sz w:val="19"/>
        </w:rPr>
        <w:t xml:space="preserve">Übertragbarkeit: </w:t>
      </w:r>
      <w:r>
        <w:rPr>
          <w:sz w:val="19"/>
        </w:rPr>
        <w:t>Skandinavisches Gesundheitssystem; Ergebnisse auf deutsche Hochrisikogruppen mit Polymedikation relevant</w:t>
      </w:r>
    </w:p>
    <w:p>
      <w:r>
        <w:rPr>
          <w:color w:val="5A7D3A"/>
          <w:sz w:val="18"/>
        </w:rPr>
        <w:t>https://pubmed.ncbi.nlm.nih.gov/42800055/</w:t>
      </w:r>
    </w:p>
    <w:p>
      <w:pPr>
        <w:pStyle w:val="Heading2"/>
      </w:pPr>
      <w:r>
        <w:t>Native-T1-Wert ersetzt Gadolinium-Kontrastmittel in ATTR-Amyloidose-Diagnostik</w:t>
      </w:r>
    </w:p>
    <w:p>
      <w:r>
        <w:rPr>
          <w:i/>
          <w:color w:val="666666"/>
          <w:sz w:val="18"/>
        </w:rPr>
        <w:t>Aimo A et al.  ·  JACC Cardiovasc Imaging  ·  24.09.2026  ·  PMID 42799727</w:t>
      </w:r>
    </w:p>
    <w:p>
      <w:r>
        <w:t>Beobachtungsstudie an 1675 ATTR-Patienten: Nativer T1-Wert als kontrastmittelfreier CMR-Marker für Amyloidinfiltration zur Diagnose und Risikostratifikation.</w:t>
      </w:r>
    </w:p>
    <w:p>
      <w:r>
        <w:rPr>
          <w:b/>
        </w:rPr>
        <w:t xml:space="preserve">Ergebnis: </w:t>
      </w:r>
      <w:r>
        <w:t>Native T1 ≤1050 ms zeigte 93% Sensitivität und 84% Spezifität für Ausschluss kardialen Befalls; T1 ≥1100 ms zeigte 75% Sensitivität und 88% Spezifität für manifeste Erkrankung. Kalibriert gegen Extrazellularvolumen: Stepwise 3-Jahres-Mortalitäts-Gradient mit Plateauing bei hohen T1-Werten.</w:t>
      </w:r>
    </w:p>
    <w:p>
      <w:r>
        <w:rPr>
          <w:b/>
          <w:sz w:val="19"/>
        </w:rPr>
        <w:t xml:space="preserve">Übertragbarkeit: </w:t>
      </w:r>
      <w:r>
        <w:rPr>
          <w:sz w:val="19"/>
        </w:rPr>
        <w:t>UK-Referenzzentrum; Methode weltweit übertragbar, benötigt aber lokale Kalibrierung</w:t>
      </w:r>
    </w:p>
    <w:p>
      <w:r>
        <w:rPr>
          <w:color w:val="5A7D3A"/>
          <w:sz w:val="18"/>
        </w:rPr>
        <w:t>https://pubmed.ncbi.nlm.nih.gov/42799727/</w:t>
      </w:r>
    </w:p>
    <w:p>
      <w:pPr>
        <w:pStyle w:val="Heading2"/>
      </w:pPr>
      <w:r>
        <w:t>Vorhofflimmern und koronare Krankheit: Interaktionen, Risiken und therapeutische Integration</w:t>
      </w:r>
    </w:p>
    <w:p>
      <w:r>
        <w:rPr>
          <w:i/>
          <w:color w:val="666666"/>
          <w:sz w:val="18"/>
        </w:rPr>
        <w:t>Verburg A et al.  ·  Heart  ·  24.09.2026  ·  PMID 42785754</w:t>
      </w:r>
    </w:p>
    <w:p>
      <w:r>
        <w:t>Narrative Review zur Epidemiologie, Pathophysiologie und Diagnostik von kombiniertem Vorhofflimmern und koronarer Artery-Disease sowie integrierten Managementstrategien für Antithrombose, Rhythmuskontrolle und Ischämietherapie.</w:t>
      </w:r>
    </w:p>
    <w:p>
      <w:r>
        <w:rPr>
          <w:b/>
        </w:rPr>
        <w:t xml:space="preserve">Ergebnis: </w:t>
      </w:r>
      <w:r>
        <w:t>Ko-Vorliegen schafft High-Risk-Phänotyp mit höheren Raten Schlaganfall, ACS, Herzinsuffizienz und Mortalität als Monoerkrankung. Bidirektionale Pathophysiologie: AF verschärft myokardiale Ischämie und Endotheldysfunktion; KHK fördert atriale Umgestaltung. Review fasst Evidenz zur integrierten therapeutischen Entscheidungsfindung bei antithrombotischer Intensität, Rate- vs. Rhythmuskontrolle und Ischämiebewältigung zusammen.</w:t>
      </w:r>
    </w:p>
    <w:p>
      <w:r>
        <w:rPr>
          <w:b/>
          <w:sz w:val="19"/>
        </w:rPr>
        <w:t xml:space="preserve">Übertragbarkeit: </w:t>
      </w:r>
      <w:r>
        <w:rPr>
          <w:sz w:val="19"/>
        </w:rPr>
        <w:t>Niederländisch-dänische Autorengruppe; europäische Versorgungsperspektive vollständig auf Deutschland übertragbar</w:t>
      </w:r>
    </w:p>
    <w:p>
      <w:r>
        <w:rPr>
          <w:color w:val="5A7D3A"/>
          <w:sz w:val="18"/>
        </w:rPr>
        <w:t>https://pubmed.ncbi.nlm.nih.gov/42785754/</w:t>
      </w:r>
    </w:p>
    <w:p>
      <w:pPr>
        <w:pStyle w:val="Heading2"/>
      </w:pPr>
      <w:r>
        <w:t>Programmierte Ventrikelstimulation stratifiziert Plötzliche-Tode-Risiko bei erhaltener Ejektionsfraktion</w:t>
      </w:r>
    </w:p>
    <w:p>
      <w:r>
        <w:rPr>
          <w:i/>
          <w:color w:val="666666"/>
          <w:sz w:val="18"/>
        </w:rPr>
        <w:t>Gardziejczyk P et al.  ·  JACC Clin Electrophysiol  ·  16.09.2026  ·  PMID 42776090</w:t>
      </w:r>
    </w:p>
    <w:p>
      <w:r>
        <w:t>Prospektive Studie an 182 Patienten mit nichtischämischer Kardiomyopathie, EMV-Narbennachweis und LVEF ≥40%: Prognostischer Wert der programmierten Ventrikelstimulation für Arrhythmieereignisse.</w:t>
      </w:r>
    </w:p>
    <w:p>
      <w:r>
        <w:rPr>
          <w:b/>
        </w:rPr>
        <w:t xml:space="preserve">Ergebnis: </w:t>
      </w:r>
      <w:r>
        <w:t>PVS positiv in 45 (25%): Majorale arrhythmische Ereignisse in 29% versus PVS-negativ 1,5% (p&lt;0,001). Negative Vorhersagekraft 98,5%. Zusätzliche Prädiktoren: multifokale PVCs (HR 6,6), Familiengeschichte (HR 16,7), QRS ≥100 ms (HR 5,2), LVEF ≤50% (HR 4,4). Kombinierter Score zeigte C-Statistik 0,892.</w:t>
      </w:r>
    </w:p>
    <w:p>
      <w:r>
        <w:rPr>
          <w:b/>
          <w:sz w:val="19"/>
        </w:rPr>
        <w:t xml:space="preserve">Übertragbarkeit: </w:t>
      </w:r>
      <w:r>
        <w:rPr>
          <w:sz w:val="19"/>
        </w:rPr>
        <w:t>US-Tertiärzentrum; Methodik relevant für ICD-Indikationserstellung bei Borderline-EF</w:t>
      </w:r>
    </w:p>
    <w:p>
      <w:r>
        <w:rPr>
          <w:color w:val="5A7D3A"/>
          <w:sz w:val="18"/>
        </w:rPr>
        <w:t>https://pubmed.ncbi.nlm.nih.gov/42776090/</w:t>
      </w:r>
    </w:p>
    <w:p>
      <w:pPr>
        <w:pStyle w:val="Heading1"/>
      </w:pPr>
      <w:r>
        <w:t>Aufgenommen am 27.09.2026</w:t>
      </w:r>
    </w:p>
    <w:p>
      <w:pPr>
        <w:pStyle w:val="Heading2"/>
      </w:pPr>
      <w:r>
        <w:t>Intrakoronares Adenosin reduziert No-Reflow beim akuten Herzinfarkt: randomisierte Studie mit funktionellen Verbesserungen</w:t>
      </w:r>
    </w:p>
    <w:p>
      <w:r>
        <w:rPr>
          <w:i/>
          <w:color w:val="666666"/>
          <w:sz w:val="18"/>
        </w:rPr>
        <w:t>Saad A et al.  ·  Am J Cardiol  ·  26.09.2026  ·  PMID 42800528</w:t>
      </w:r>
    </w:p>
    <w:p>
      <w:r>
        <w:t>RCT zur Frage, ob intrakoronares Adenosin nach Erreichung von TIMI-1-Flow die No-Reflow-Rate bei primärer PCI für STEMI senkt und linke Ventrikelfunktion verbessert.</w:t>
      </w:r>
    </w:p>
    <w:p>
      <w:r>
        <w:rPr>
          <w:b/>
        </w:rPr>
        <w:t xml:space="preserve">Ergebnis: </w:t>
      </w:r>
      <w:r>
        <w:t>200 STEMI-Patienten: Adenosin reduzierte No-Reflow (33 % vs. 60 %, p&lt;0,001), erhöhte TIMI-III-Flow (86 % vs. 49 %, p&lt;0,001) und MBG III (68 % vs. 42 %, p=0,003). Post-PCI-EF höher (42,64±8,92 % vs. 38,40±9,34 %, p=0,001), kleinere LV-Volumen. Einfaches Verfahren mit hartem Endpunkt.</w:t>
      </w:r>
    </w:p>
    <w:p>
      <w:r>
        <w:rPr>
          <w:b/>
          <w:sz w:val="19"/>
        </w:rPr>
        <w:t xml:space="preserve">Übertragbarkeit: </w:t>
      </w:r>
      <w:r>
        <w:rPr>
          <w:sz w:val="19"/>
        </w:rPr>
        <w:t>Ägyptisch-US-amerikanische Einzelzenter-RCT, Ergebnisse sind methodologisch unabhängig von Gesundheitssystem-Unterschieden übertragbar.</w:t>
      </w:r>
    </w:p>
    <w:p>
      <w:r>
        <w:rPr>
          <w:color w:val="5A7D3A"/>
          <w:sz w:val="18"/>
        </w:rPr>
        <w:t>https://pubmed.ncbi.nlm.nih.gov/42800528/</w:t>
      </w:r>
    </w:p>
    <w:p>
      <w:pPr>
        <w:pStyle w:val="Heading2"/>
      </w:pPr>
      <w:r>
        <w:t>Katheterablation des Vorhofflimmerns nach Vorhofohr-Verschluss: Gerinnungsmanagement bei hohem Blutungsrisiko sicher möglich</w:t>
      </w:r>
    </w:p>
    <w:p>
      <w:r>
        <w:rPr>
          <w:i/>
          <w:color w:val="666666"/>
          <w:sz w:val="18"/>
        </w:rPr>
        <w:t>Kaplan RM et al.  ·  Europace  ·  25.09.2026  ·  PMID 42786895</w:t>
      </w:r>
    </w:p>
    <w:p>
      <w:r>
        <w:t>Multizentrische Analyse zur Sicherheit und Wirksamkeit der Vorhofflimmern-Ablation bei Patienten mit vorhandenem Linksvorhofohr-Verschlussgerät und Blutungsrisiko.</w:t>
      </w:r>
    </w:p>
    <w:p>
      <w:r>
        <w:rPr>
          <w:b/>
        </w:rPr>
        <w:t xml:space="preserve">Ergebnis: </w:t>
      </w:r>
      <w:r>
        <w:t>Bei 198 Patienten (Median 271 Tage nach Devices-Implantation) zeigten sich nach Ablation in 84 % eine orale Antikoagulation, Blutungskomplikationen bei 6,7 %, Schlaganfall/TIA bei 2,6 %; neue/verschlimmerte Peridevice-Lecks bei nur 2 Fällen. Ablation war machbar, geräteassoziierte Komplikationen selten.</w:t>
      </w:r>
    </w:p>
    <w:p>
      <w:r>
        <w:rPr>
          <w:b/>
          <w:sz w:val="19"/>
        </w:rPr>
        <w:t xml:space="preserve">Übertragbarkeit: </w:t>
      </w:r>
      <w:r>
        <w:rPr>
          <w:sz w:val="19"/>
        </w:rPr>
        <w:t>Multizentrische Registerdaten aus Europa und Nordamerika – Ergebnisse übertragbar auf europäische Versorgungsrealität.</w:t>
      </w:r>
    </w:p>
    <w:p>
      <w:r>
        <w:rPr>
          <w:color w:val="5A7D3A"/>
          <w:sz w:val="18"/>
        </w:rPr>
        <w:t>https://pubmed.ncbi.nlm.nih.gov/42786895/</w:t>
      </w:r>
    </w:p>
    <w:p>
      <w:pPr>
        <w:pStyle w:val="Heading2"/>
      </w:pPr>
      <w:r>
        <w:t>Koronaraneurysma bei Kawasaki-Krankheit: akutes Koronarsyndrom vom Säugling bis zum Erwachsenen</w:t>
      </w:r>
    </w:p>
    <w:p>
      <w:r>
        <w:rPr>
          <w:i/>
          <w:color w:val="666666"/>
          <w:sz w:val="18"/>
        </w:rPr>
        <w:t>Jone PN et al.  ·  Circulation  ·  22.09.2026  ·  PMID 42766690</w:t>
      </w:r>
    </w:p>
    <w:p>
      <w:r>
        <w:t>Narrativ review zur epidemiologiologischen und pathophysiologischen Grundlage sowie Managementoptionen des koronaren Syndroms bei Kawasaki-Krankheit über die gesamte Lebensspanne.</w:t>
      </w:r>
    </w:p>
    <w:p>
      <w:r>
        <w:rPr>
          <w:b/>
        </w:rPr>
        <w:t xml:space="preserve">Ergebnis: </w:t>
      </w:r>
      <w:r>
        <w:t>Review synthetisiert aktuelle Evidenz zu Koronaraneurysmen, Bildgebung, interventionellen Techniken und Antithrombose sowie Post-ACS-Überwachung bei Kawasaki-Krankheit. Koordinierte Zusammenarbeit pädiatrischer und erwachsener Kardiologen wird als notwendig hervorgehoben.</w:t>
      </w:r>
    </w:p>
    <w:p>
      <w:r>
        <w:rPr>
          <w:b/>
          <w:sz w:val="19"/>
        </w:rPr>
        <w:t xml:space="preserve">Übertragbarkeit: </w:t>
      </w:r>
      <w:r>
        <w:rPr>
          <w:sz w:val="19"/>
        </w:rPr>
        <w:t>Klinisches Übersichtswerk; Empfehlungen basieren auf internationaler Leitlinienliteratur.</w:t>
      </w:r>
    </w:p>
    <w:p>
      <w:r>
        <w:rPr>
          <w:color w:val="5A7D3A"/>
          <w:sz w:val="18"/>
        </w:rPr>
        <w:t>https://pubmed.ncbi.nlm.nih.gov/42766690/</w:t>
      </w:r>
    </w:p>
    <w:p>
      <w:pPr>
        <w:pStyle w:val="Heading2"/>
      </w:pPr>
      <w:r>
        <w:t>Neue mechanische Kreislaufunterstützung beim kardiogenen Schock: technische Innovation und klinische Evidenz</w:t>
      </w:r>
    </w:p>
    <w:p>
      <w:r>
        <w:rPr>
          <w:i/>
          <w:color w:val="666666"/>
          <w:sz w:val="18"/>
        </w:rPr>
        <w:t>Thiele H et al.  ·  Circ Heart Fail  ·  15.09.2026  ·  PMID 42743344</w:t>
      </w:r>
    </w:p>
    <w:p>
      <w:r>
        <w:t>Review aktueller und erzeugender Technologien für temporäre mechanische Unterstützungssysteme in kardiogenem Schock und hochriskanten Herzkatheterintervention.</w:t>
      </w:r>
    </w:p>
    <w:p>
      <w:r>
        <w:rPr>
          <w:b/>
        </w:rPr>
        <w:t xml:space="preserve">Ergebnis: </w:t>
      </w:r>
      <w:r>
        <w:t>Neuere Systeme ermöglichen höhere kardiale Leistung bei limitierten vaskulären Zugängen und verbesserter Blutverträglichkeit; aktuelle Systeme bleiben durch Gefäßkomplikationen, Hämolyse und unsicheren Überlebensvorteil begrenzt. Technologie und Indikationen werden systematisch übersichtlich gemacht.</w:t>
      </w:r>
    </w:p>
    <w:p>
      <w:r>
        <w:rPr>
          <w:b/>
          <w:sz w:val="19"/>
        </w:rPr>
        <w:t xml:space="preserve">Übertragbarkeit: </w:t>
      </w:r>
      <w:r>
        <w:rPr>
          <w:sz w:val="19"/>
        </w:rPr>
        <w:t>Review der verfügbaren Evidenz aus klinischen Studien und Registern – Grundlage für Behandlungsentscheidungen.</w:t>
      </w:r>
    </w:p>
    <w:p>
      <w:r>
        <w:rPr>
          <w:color w:val="5A7D3A"/>
          <w:sz w:val="18"/>
        </w:rPr>
        <w:t>https://pubmed.ncbi.nlm.nih.gov/42743344/</w:t>
      </w:r>
    </w:p>
    <w:p>
      <w:pPr>
        <w:pStyle w:val="Heading2"/>
      </w:pPr>
      <w:r>
        <w:t>Atrialer Elektrotransport bei Menschen und Tieren: Vergleich für bessere Translation bei Vorhofflimmern</w:t>
      </w:r>
    </w:p>
    <w:p>
      <w:r>
        <w:rPr>
          <w:i/>
          <w:color w:val="666666"/>
          <w:sz w:val="18"/>
        </w:rPr>
        <w:t>Paasche A et al.  ·  J Am Heart Assoc  ·  15.09.2026  ·  PMID 42714435</w:t>
      </w:r>
    </w:p>
    <w:p>
      <w:r>
        <w:t>Systematische Charakterisierung der speziesspezifischen Elektro physiologie in Atrien von Menschen, Mäusen, Ratten, Schweinen und Pferden mittels einheitlicher Protokolle mit in-silico-Modellierung.</w:t>
      </w:r>
    </w:p>
    <w:p>
      <w:r>
        <w:rPr>
          <w:b/>
        </w:rPr>
        <w:t xml:space="preserve">Ergebnis: </w:t>
      </w:r>
      <w:r>
        <w:t>Schweineatrien ähneln menschlichen Zellen in Depolarisierungsmerkmalen stark, Nager unterscheiden sich deutlich. Menschliches frühes Repolarisierungsmuster korrelierte mit höherem IKur-Beitrag; späte Repolarisierung skalierte mit Species. Geschlechtsunterschiede traten in Menschen und Schweinen, nicht in Nagern auf. In-silico-Simulationen zeigten Chamber-spezifische Unterschiede.</w:t>
      </w:r>
    </w:p>
    <w:p>
      <w:r>
        <w:rPr>
          <w:b/>
          <w:sz w:val="19"/>
        </w:rPr>
        <w:t xml:space="preserve">Übertragbarkeit: </w:t>
      </w:r>
      <w:r>
        <w:rPr>
          <w:sz w:val="19"/>
        </w:rPr>
        <w:t>Deutsche Forschungsinstitutionen (Heidelberg, Göttingen, Karlsruhe); Referenzdaten verbesserter Übersetzbarkeit tierexperimenteller Befunde.</w:t>
      </w:r>
    </w:p>
    <w:p>
      <w:r>
        <w:rPr>
          <w:color w:val="5A7D3A"/>
          <w:sz w:val="18"/>
        </w:rPr>
        <w:t>https://pubmed.ncbi.nlm.nih.gov/42714435/</w:t>
      </w:r>
    </w:p>
    <w:p>
      <w:pPr>
        <w:pStyle w:val="Heading2"/>
      </w:pPr>
      <w:r>
        <w:t>Herzinsuffizienz 2026: neue Mechanismen, Phänotypen und therapeutische Innovationen im Überblick</w:t>
      </w:r>
    </w:p>
    <w:p>
      <w:r>
        <w:rPr>
          <w:i/>
          <w:color w:val="666666"/>
          <w:sz w:val="18"/>
        </w:rPr>
        <w:t>Liguori V et al.  ·  ESC Heart Fail  ·  01.09.2026  ·  PMID 42679357</w:t>
      </w:r>
    </w:p>
    <w:p>
      <w:r>
        <w:t>Aktualisierte Übersicht wissenschaftlicher Fortschritte in Epidemiologie, Pathophysiologie, Diagnostik und Therapie der Herzinsuffizienz nach neuem Universal-Schema.</w:t>
      </w:r>
    </w:p>
    <w:p>
      <w:r>
        <w:rPr>
          <w:b/>
        </w:rPr>
        <w:t xml:space="preserve">Ergebnis: </w:t>
      </w:r>
      <w:r>
        <w:t>Neues Klassifikationsrahmenwerk jenseits Ejektionsfraktion: HFrEF und HFpEF; mechanistische Einblicke in Entzündung, Immunaktivierung, Metabolismus, Mitochondrien; Fortschritt bei Komorbiditäten (CKD, Diabetes, Adipositas, AF, PH, Frailty). Diagnostik: Biomarker, Multi-Omics, KI, erweiterte Bildgebung. Therapeutische Evidenz bei SGLT2-Hemmern, Finerenone, GLP-1, Katheterventilinterventionen.</w:t>
      </w:r>
    </w:p>
    <w:p>
      <w:r>
        <w:rPr>
          <w:b/>
          <w:sz w:val="19"/>
        </w:rPr>
        <w:t xml:space="preserve">Übertragbarkeit: </w:t>
      </w:r>
      <w:r>
        <w:rPr>
          <w:sz w:val="19"/>
        </w:rPr>
        <w:t>Europäische Leitlinienarbeit (ESC) – direkte Übertragbarkeit auf deutsche Versorgung und Leitlinienentwicklung.</w:t>
      </w:r>
    </w:p>
    <w:p>
      <w:r>
        <w:rPr>
          <w:color w:val="5A7D3A"/>
          <w:sz w:val="18"/>
        </w:rPr>
        <w:t>https://pubmed.ncbi.nlm.nih.gov/42679357/</w:t>
      </w:r>
    </w:p>
    <w:p>
      <w:pPr>
        <w:pStyle w:val="Heading1"/>
      </w:pPr>
      <w:r>
        <w:t>Aufgenommen am 26.09.2026</w:t>
      </w:r>
    </w:p>
    <w:p>
      <w:pPr>
        <w:pStyle w:val="Heading2"/>
      </w:pPr>
      <w:r>
        <w:t>Geografische Variation der HCM-Diagnostik in Dänemark: Prävalenz 71/100.000, regional bis 80,3</w:t>
      </w:r>
    </w:p>
    <w:p>
      <w:r>
        <w:rPr>
          <w:i/>
          <w:color w:val="666666"/>
          <w:sz w:val="18"/>
        </w:rPr>
        <w:t>Bhardwaj P et al.  ·  Open Heart  ·  25.09.2026  ·  PMID 42791014</w:t>
      </w:r>
    </w:p>
    <w:p>
      <w:r>
        <w:t>Bevölkerungsbasierte Registerstudie der diagnostizierten hypertrophen (HCM) und arrhythmogenen rechtsventrikulären Kardiomyopathie (ARVC) in Dänemark.</w:t>
      </w:r>
    </w:p>
    <w:p>
      <w:r>
        <w:rPr>
          <w:b/>
        </w:rPr>
        <w:t xml:space="preserve">Ergebnis: </w:t>
      </w:r>
      <w:r>
        <w:t>HCM-Prävalenz 71 pro 100.000 (regional 61,4–80,3); ARVC 8,1 pro 100.000 ohne regionale Variation. HCM zeigt signifikante geografische und Urban-Rural-Unterschiede, ARVC gleichmäßig verteilt – deutet auf Einfluss von Gesundheitsorganisation und Überweisungsmuster hin.</w:t>
      </w:r>
    </w:p>
    <w:p>
      <w:r>
        <w:rPr>
          <w:b/>
          <w:sz w:val="19"/>
        </w:rPr>
        <w:t xml:space="preserve">Übertragbarkeit: </w:t>
      </w:r>
      <w:r>
        <w:rPr>
          <w:sz w:val="19"/>
        </w:rPr>
        <w:t>Dänemark (universelles Gesundheitssystem), für deutsche Mindestmengen-Diskussion in der Kardiomyopathie-Diagnostik relevant.</w:t>
      </w:r>
    </w:p>
    <w:p>
      <w:r>
        <w:rPr>
          <w:color w:val="5A7D3A"/>
          <w:sz w:val="18"/>
        </w:rPr>
        <w:t>https://pubmed.ncbi.nlm.nih.gov/42791014/</w:t>
      </w:r>
    </w:p>
    <w:p>
      <w:pPr>
        <w:pStyle w:val="Heading2"/>
      </w:pPr>
      <w:r>
        <w:t>HFpEF-Phänotypen entwickeln sich unterschiedlich: progressiv früh oder stabil fortgeschritten; KI-Vorhersage C-Index 0,66</w:t>
      </w:r>
    </w:p>
    <w:p>
      <w:r>
        <w:rPr>
          <w:i/>
          <w:color w:val="666666"/>
          <w:sz w:val="18"/>
        </w:rPr>
        <w:t>Brown S et al.  ·  Open Heart  ·  25.09.2026  ·  PMID 42791013</w:t>
      </w:r>
    </w:p>
    <w:p>
      <w:r>
        <w:t>NLP-basierte Phänotypisierung von 2.223 HFpEF-Patienten aus Echtdaten-EHR (2010–2022) mittels Latent-Class-Analysis und Random-Forest-Klassifikation über 5 Jahre zur Identifikation von stabilen versus progressiven Krankheitszuständen.</w:t>
      </w:r>
    </w:p>
    <w:p>
      <w:r>
        <w:rPr>
          <w:b/>
        </w:rPr>
        <w:t xml:space="preserve">Ergebnis: </w:t>
      </w:r>
      <w:r>
        <w:t>Vier HFpEF-Phänotypen: jung-geringe Komorbiditäten (22 %, Übergangswahrscheinlichkeit 47,7 %), Adipositas-dominant (24 %), ältere-atriale Dysfunktion (32 %, 12,1 %), kardiovaskulär-nieren-metabolisch (23 %, 3,2 %, Mortalität HR 1,53). Aktuelle Phänotyp-Klassifikation diskriminiert Mortalität besser als Baseline (C-Index 0,659 vs 0,648).</w:t>
      </w:r>
    </w:p>
    <w:p>
      <w:r>
        <w:rPr>
          <w:b/>
          <w:sz w:val="19"/>
        </w:rPr>
        <w:t xml:space="preserve">Übertragbarkeit: </w:t>
      </w:r>
      <w:r>
        <w:rPr>
          <w:sz w:val="19"/>
        </w:rPr>
        <w:t>UK (King's College London multisite EHR), NLP-gestützte Phänotypisierung könnte EHR-Daten deutscher Kliniken zur HFpEF-Stratifikation nutzen.</w:t>
      </w:r>
    </w:p>
    <w:p>
      <w:r>
        <w:rPr>
          <w:color w:val="5A7D3A"/>
          <w:sz w:val="18"/>
        </w:rPr>
        <w:t>https://pubmed.ncbi.nlm.nih.gov/42791013/</w:t>
      </w:r>
    </w:p>
    <w:p>
      <w:pPr>
        <w:pStyle w:val="Heading2"/>
      </w:pPr>
      <w:r>
        <w:t>Mehrorgan-Aging-Marker im Blut beschleunigen vor Herzinsuffizienz-Komplikationen und prognostizieren unabhängig vom BNP</w:t>
      </w:r>
    </w:p>
    <w:p>
      <w:r>
        <w:rPr>
          <w:i/>
          <w:color w:val="666666"/>
          <w:sz w:val="18"/>
        </w:rPr>
        <w:t>Qu K et al.  ·  Eur J Heart Fail  ·  25.09.2026  ·  PMID 42789496</w:t>
      </w:r>
    </w:p>
    <w:p>
      <w:r>
        <w:t>Longitudinale Proteomik-Studie zweier Kohorten (557 Personen HELPFul HFpEF-Risk bis Diagnose, 382 etablierte HF mit LVEF&lt;50%) zur Organalterung aus Plasma-Proteinen (Organ Age Gaps, OAG).</w:t>
      </w:r>
    </w:p>
    <w:p>
      <w:r>
        <w:rPr>
          <w:b/>
        </w:rPr>
        <w:t xml:space="preserve">Ergebnis: </w:t>
      </w:r>
      <w:r>
        <w:t>Patienten mit ungünstigen Ereignissen zeigen beschleunigte Multi-Organ-Aging über 2,1 Jahre (Immunsystem β=0,36 z-score/Jahr, Herz β=0,29). Nieren-, Lungen- und Immunalterung bleiben nach Adjustierung auf NT-proBNP und Troponin T prognostisch (p&lt;0,05). Baseline-OAGs unterscheiden sich nach HF-Schweregrad.</w:t>
      </w:r>
    </w:p>
    <w:p>
      <w:r>
        <w:rPr>
          <w:b/>
          <w:sz w:val="19"/>
        </w:rPr>
        <w:t xml:space="preserve">Übertragbarkeit: </w:t>
      </w:r>
      <w:r>
        <w:rPr>
          <w:sz w:val="19"/>
        </w:rPr>
        <w:t>Niederlande/UK (HELPFul und Bio-SHiFT), explorative Studie; Proteom-Marker könnten HF-Risiko-Stratifikation verfeinern, brauchen Validierung.</w:t>
      </w:r>
    </w:p>
    <w:p>
      <w:r>
        <w:rPr>
          <w:color w:val="5A7D3A"/>
          <w:sz w:val="18"/>
        </w:rPr>
        <w:t>https://pubmed.ncbi.nlm.nih.gov/42789496/</w:t>
      </w:r>
    </w:p>
    <w:p>
      <w:pPr>
        <w:pStyle w:val="Heading2"/>
      </w:pPr>
      <w:r>
        <w:t>Operative linksatriale Appendage-Okklusion bei Sinusrhythmus reduziert Schlaganfall um 25 Prozent, erhöht Vorhofflimmern-Inzidenz</w:t>
      </w:r>
    </w:p>
    <w:p>
      <w:r>
        <w:rPr>
          <w:i/>
          <w:color w:val="666666"/>
          <w:sz w:val="18"/>
        </w:rPr>
        <w:t>Song Q et al.  ·  J Am Heart Assoc  ·  24.09.2026  ·  PMID 42786657</w:t>
      </w:r>
    </w:p>
    <w:p>
      <w:r>
        <w:t>Metaanalyse von 11 Studien (12.145 Teilnehmer) zur elektiven chirurgischen LAAO versus keine LAAO bei Patienten ohne präoperatives Vorhofflimmern.</w:t>
      </w:r>
    </w:p>
    <w:p>
      <w:r>
        <w:rPr>
          <w:b/>
        </w:rPr>
        <w:t xml:space="preserve">Ergebnis: </w:t>
      </w:r>
      <w:r>
        <w:t>Chirurgische LAAO reduzierte neu aufgetretenes TIA/Schlaganfall (OR 0,75; 95%-KI 0,62–0,90) und Blutungen (OR 0,78; 95%-KI 0,60–1,00), erhöhte aber postoperatives Vorhofflimmern (OR 1,27; 95%-KI 1,06–1,53). Kein Unterschied in Gesamtsterblichkeit oder Liegedauer.</w:t>
      </w:r>
    </w:p>
    <w:p>
      <w:r>
        <w:rPr>
          <w:b/>
          <w:sz w:val="19"/>
        </w:rPr>
        <w:t xml:space="preserve">Übertragbarkeit: </w:t>
      </w:r>
      <w:r>
        <w:rPr>
          <w:sz w:val="19"/>
        </w:rPr>
        <w:t>11 überwiegend nicht-deutsche Zentren; Evidenz-Niveau moderat; Entscheidung zu elektiven LAAO-Implantationen ist evidenzbasiert.</w:t>
      </w:r>
    </w:p>
    <w:p>
      <w:r>
        <w:rPr>
          <w:color w:val="5A7D3A"/>
          <w:sz w:val="18"/>
        </w:rPr>
        <w:t>https://pubmed.ncbi.nlm.nih.gov/42786657/</w:t>
      </w:r>
    </w:p>
    <w:p>
      <w:pPr>
        <w:pStyle w:val="Heading2"/>
      </w:pPr>
      <w:r>
        <w:t>Frühe kardiologische Rehabilitation nach Herzinsuffizienz-Klinikaufenthalt senkt Sterblichkeit um 51 bis 61 Prozent</w:t>
      </w:r>
    </w:p>
    <w:p>
      <w:r>
        <w:rPr>
          <w:i/>
          <w:color w:val="666666"/>
          <w:sz w:val="18"/>
        </w:rPr>
        <w:t>Katano S et al.  ·  J Am Heart Assoc  ·  24.09.2026  ·  PMID 42786652</w:t>
      </w:r>
    </w:p>
    <w:p>
      <w:r>
        <w:t>Japanische Registerstudie (564.830 Patienten mit akuter Herzinsuffizienz 2012–2023) zum zeitlichen Zusammenhang zwischen Aufnahme und Beginn kardiologischer Rehabilitation und Krankenhausergebnis.</w:t>
      </w:r>
    </w:p>
    <w:p>
      <w:r>
        <w:rPr>
          <w:b/>
        </w:rPr>
        <w:t xml:space="preserve">Ergebnis: </w:t>
      </w:r>
      <w:r>
        <w:t>Alle Rehabilitations-Zeitquartile (≤1 Tag bis ≥6 Tage) zeigten niedrigere Krankenhaussterblichkeit gegen Nicht-Rehab-Gruppe: adjustierte Odds Ratios 0,39–0,49 (p&lt;0,001). Funktionelle Besserung (Barthel-Index) optimal bei 2–3 Tagen, Mortalitätsabsenkung über breiteres Zeitfenster bis 6 Tage. Spline-Analysen zeigen nichtlineare Assoziationen.</w:t>
      </w:r>
    </w:p>
    <w:p>
      <w:r>
        <w:rPr>
          <w:b/>
          <w:sz w:val="19"/>
        </w:rPr>
        <w:t xml:space="preserve">Übertragbarkeit: </w:t>
      </w:r>
      <w:r>
        <w:rPr>
          <w:sz w:val="19"/>
        </w:rPr>
        <w:t>Japan (Universitätskliniken, strukturierte Rehabilitation), organisatorisches Modell für deutsche Herzinsuffizienz-Rehabilitation anwendbar.</w:t>
      </w:r>
    </w:p>
    <w:p>
      <w:r>
        <w:rPr>
          <w:color w:val="5A7D3A"/>
          <w:sz w:val="18"/>
        </w:rPr>
        <w:t>https://pubmed.ncbi.nlm.nih.gov/42786652/</w:t>
      </w:r>
    </w:p>
    <w:p>
      <w:pPr>
        <w:pStyle w:val="Heading2"/>
      </w:pPr>
      <w:r>
        <w:t>Präemptive Sternumganglien-Blockade senkt postoperatives Vorhofflimmern nach Bypass um 56 Prozent</w:t>
      </w:r>
    </w:p>
    <w:p>
      <w:r>
        <w:rPr>
          <w:i/>
          <w:color w:val="666666"/>
          <w:sz w:val="18"/>
        </w:rPr>
        <w:t>Tian S et al.  ·  JACC Clin Electrophysiol  ·  21.09.2026  ·  PMID 42782230</w:t>
      </w:r>
    </w:p>
    <w:p>
      <w:r>
        <w:t>Randomisierte kontrollierte Studie (n=108 modifizierte Intention-to-Treat) zur präoperativen linken Stellatumganglien-Blockade zur Reduktion postoperativen Vorhofflimmerns nach Koronarbypass mit Herz-Lungen-Maschine.</w:t>
      </w:r>
    </w:p>
    <w:p>
      <w:r>
        <w:rPr>
          <w:b/>
        </w:rPr>
        <w:t xml:space="preserve">Ergebnis: </w:t>
      </w:r>
      <w:r>
        <w:t>POAF-Inzidenz 5 Tage postoperativ: SGB 18,5 % vs Kontrolle 44,4 % (OR 0,288; 95%-KI 0,106–0,731; p=0,007). SGB zeigte auch niedrigere POAF-Last, kürzere Episoden-Dauer, niedrigere Entzündungsmarker (CRP, IL-6, hs-Troponin T) und kürzerer Krankenhausaufenthalt.</w:t>
      </w:r>
    </w:p>
    <w:p>
      <w:r>
        <w:rPr>
          <w:b/>
          <w:sz w:val="19"/>
        </w:rPr>
        <w:t xml:space="preserve">Übertragbarkeit: </w:t>
      </w:r>
      <w:r>
        <w:rPr>
          <w:sz w:val="19"/>
        </w:rPr>
        <w:t>China (ein Zentrum); physiologisches Konzept ist übertragbar; Methode könnte für SZ-Bypass-Patienten evaluiert werden.</w:t>
      </w:r>
    </w:p>
    <w:p>
      <w:r>
        <w:rPr>
          <w:color w:val="5A7D3A"/>
          <w:sz w:val="18"/>
        </w:rPr>
        <w:t>https://pubmed.ncbi.nlm.nih.gov/42782230/</w:t>
      </w:r>
    </w:p>
    <w:p>
      <w:pPr>
        <w:pStyle w:val="Heading1"/>
      </w:pPr>
      <w:r>
        <w:t>Aufgenommen am 25.09.2026</w:t>
      </w:r>
    </w:p>
    <w:p>
      <w:pPr>
        <w:pStyle w:val="Heading2"/>
      </w:pPr>
      <w:r>
        <w:t>Kardiales Risiko in der Schwangerschaft - Scores überschätzen Komplikationen</w:t>
      </w:r>
    </w:p>
    <w:p>
      <w:r>
        <w:rPr>
          <w:i/>
          <w:color w:val="666666"/>
          <w:sz w:val="18"/>
        </w:rPr>
        <w:t>Houri O et al.  ·  Open Heart  ·  24.09.2026  ·  PMID 42785923</w:t>
      </w:r>
    </w:p>
    <w:p>
      <w:r>
        <w:t>Externe Validierung dreier etablierter Risikoscores (mWHO, CARPREG II, ZAHARA) an einer israelischen Hochrisiko-Kohorte von 407 Schwangerschaften bei 282 Frauen mit Herzerkrankung (2009–2023).</w:t>
      </w:r>
    </w:p>
    <w:p>
      <w:r>
        <w:rPr>
          <w:b/>
        </w:rPr>
        <w:t xml:space="preserve">Ergebnis: </w:t>
      </w:r>
      <w:r>
        <w:t>Beobachtete kardiale Komplikationen: 4,18 % (17 Ereignisse), kein mütterlicher Tod. Vorhergesagte Raten: CARPREG II 12,78 %, mWHO 8,3 %, ZAHARA 6,7 %. Observed-to-Expected-Quoten 0,33, 0,50 und 0,62. Diskriminationsfähigkeit moderat (AUC 0,69–0,74). Keine der Scores sagte geburtshilfliche Komplikationen voraus.</w:t>
      </w:r>
    </w:p>
    <w:p>
      <w:r>
        <w:rPr>
          <w:b/>
          <w:sz w:val="19"/>
        </w:rPr>
        <w:t xml:space="preserve">Übertragbarkeit: </w:t>
      </w:r>
      <w:r>
        <w:rPr>
          <w:sz w:val="19"/>
        </w:rPr>
        <w:t>Spezialisierte Zentren, externe Validierung in anderer Population - Ergebnis zeigt Kalibrierdrift, erfordert Individualisierung</w:t>
      </w:r>
    </w:p>
    <w:p>
      <w:r>
        <w:rPr>
          <w:color w:val="5A7D3A"/>
          <w:sz w:val="18"/>
        </w:rPr>
        <w:t>https://pubmed.ncbi.nlm.nih.gov/42785923/</w:t>
      </w:r>
    </w:p>
    <w:p>
      <w:pPr>
        <w:pStyle w:val="Heading2"/>
      </w:pPr>
      <w:r>
        <w:t>Katheterablation bei Vorhofflimmern unter 30 Jahren - hohe Erfolgsraten ohne Komplikationen</w:t>
      </w:r>
    </w:p>
    <w:p>
      <w:r>
        <w:rPr>
          <w:i/>
          <w:color w:val="666666"/>
          <w:sz w:val="18"/>
        </w:rPr>
        <w:t>Doldi F et al.  ·  Heart Rhythm  ·  24.09.2026  ·  PMID 42785609</w:t>
      </w:r>
    </w:p>
    <w:p>
      <w:r>
        <w:t>Multizentrische deutsche Registerstudie zu Ablationsergebnissen bei jungen Patienten (≤30 Jahre) mit Vorhofflimmern und erstmaliger Pulmonalvenenisolation (2005–2025).</w:t>
      </w:r>
    </w:p>
    <w:p>
      <w:r>
        <w:rPr>
          <w:b/>
        </w:rPr>
        <w:t xml:space="preserve">Ergebnis: </w:t>
      </w:r>
      <w:r>
        <w:t>Von 104 Patienten mit mittlerem Alter 29,1 Jahren (83,6 % paroxysmales VHF) betrug die Freiheit von VHF bei 1, 2 und 3 Jahren 93,6 %, 88,2 % und 82,1 %; 94,9 % nach bis zu zwei Prozeduren. Komplikationen: 2,1 % (3 Patienten). Paroxysmal vs. persistentes VHF: 98,5 % vs. 67,7 % bei 1 Jahr (p&lt;0,001).</w:t>
      </w:r>
    </w:p>
    <w:p>
      <w:r>
        <w:rPr>
          <w:b/>
          <w:sz w:val="19"/>
        </w:rPr>
        <w:t xml:space="preserve">Übertragbarkeit: </w:t>
      </w:r>
      <w:r>
        <w:rPr>
          <w:sz w:val="19"/>
        </w:rPr>
        <w:t>Deutsche Hochvolumenzentren, direkt auf nationale Strukturen übertragbar</w:t>
      </w:r>
    </w:p>
    <w:p>
      <w:r>
        <w:rPr>
          <w:color w:val="5A7D3A"/>
          <w:sz w:val="18"/>
        </w:rPr>
        <w:t>https://pubmed.ncbi.nlm.nih.gov/42785609/</w:t>
      </w:r>
    </w:p>
    <w:p>
      <w:pPr>
        <w:pStyle w:val="Heading2"/>
      </w:pPr>
      <w:r>
        <w:t>Akutes Nierenversagen im kardiogenen Schock - Phänotypen und Therapeutische Ziele</w:t>
      </w:r>
    </w:p>
    <w:p>
      <w:r>
        <w:rPr>
          <w:i/>
          <w:color w:val="666666"/>
          <w:sz w:val="18"/>
        </w:rPr>
        <w:t>Hanff TC et al.  ·  Circ Heart Fail  ·  15.09.2026  ·  PMID 42743342</w:t>
      </w:r>
    </w:p>
    <w:p>
      <w:r>
        <w:t>Narratives Review zur Epidemiologie, Pathophysiologie und Klassifikation akuter Nierenschädigung (AKI) im kardiogenen Schock mit Fokus auf heterogene Phänotypen und therapeutische Ansätze.</w:t>
      </w:r>
    </w:p>
    <w:p>
      <w:r>
        <w:rPr>
          <w:b/>
        </w:rPr>
        <w:t xml:space="preserve">Ergebnis: </w:t>
      </w:r>
      <w:r>
        <w:t>AKI tritt häufig auf und verschlechtert sowohl Kurz- als auch Langzeitprognose erheblich. Mehrere biologisch unterscheidbare Phänotypen wurden identifiziert (früh vs. spät, akut vs. akut auf chronisch). Neue biomarkerbasierte und gerätegestützte Strategien zeigen Potential, Nierenperfusion zu verbessern und Stauung zu reduzieren.</w:t>
      </w:r>
    </w:p>
    <w:p>
      <w:r>
        <w:rPr>
          <w:b/>
          <w:sz w:val="19"/>
        </w:rPr>
        <w:t xml:space="preserve">Übertragbarkeit: </w:t>
      </w:r>
      <w:r>
        <w:rPr>
          <w:sz w:val="19"/>
        </w:rPr>
        <w:t>Konzeptionell-mechanistisches Überblickswerk, Empfehlungen zur individualisiertem Diagnostik und Therapie</w:t>
      </w:r>
    </w:p>
    <w:p>
      <w:r>
        <w:rPr>
          <w:color w:val="5A7D3A"/>
          <w:sz w:val="18"/>
        </w:rPr>
        <w:t>https://pubmed.ncbi.nlm.nih.gov/42743342/</w:t>
      </w:r>
    </w:p>
    <w:p>
      <w:pPr>
        <w:pStyle w:val="Heading2"/>
      </w:pPr>
      <w:r>
        <w:t>Zytomegalievirus-Latenz verstärkt Entzündung nach Herzinfarkt - experimentelle und klinische Evidenz</w:t>
      </w:r>
    </w:p>
    <w:p>
      <w:r>
        <w:rPr>
          <w:i/>
          <w:color w:val="666666"/>
          <w:sz w:val="18"/>
        </w:rPr>
        <w:t>Dapergola E et al.  ·  Circ Res  ·  14.09.2026  ·  PMID 42734064</w:t>
      </w:r>
    </w:p>
    <w:p>
      <w:r>
        <w:t>Kombination aus experimentellem Mausmodell und klinischer Kohortenanalyse zur Frage, ob latente CMV-Infektion die kardiale Heilung nach Myokardinfarkt durch persistente Entzündung beeinträchtigt.</w:t>
      </w:r>
    </w:p>
    <w:p>
      <w:r>
        <w:rPr>
          <w:b/>
        </w:rPr>
        <w:t xml:space="preserve">Ergebnis: </w:t>
      </w:r>
      <w:r>
        <w:t>Mäuse mit CMV-Exposition zeigten post-MI stärkere Entzündungsantworten mit erhöhter CD8+-T-Zellinfiltraten und verschlechterter Herzfunktion. In Patienten mit CMV-seropositiven MI fanden sich CMV-responsive T-Zellen im Myokard. Latente CMV-Infektion führt zu langfristigen Veränderungen der kardialen Mikroumgebung und beeinträchtigt die Heilung nach MI.</w:t>
      </w:r>
    </w:p>
    <w:p>
      <w:r>
        <w:rPr>
          <w:b/>
          <w:sz w:val="19"/>
        </w:rPr>
        <w:t xml:space="preserve">Übertragbarkeit: </w:t>
      </w:r>
      <w:r>
        <w:rPr>
          <w:sz w:val="19"/>
        </w:rPr>
        <w:t>Grundlagenarbeit mit erkennbarem Weg zur Klinik (Biomarker, Immuntherapie)</w:t>
      </w:r>
    </w:p>
    <w:p>
      <w:r>
        <w:rPr>
          <w:color w:val="5A7D3A"/>
          <w:sz w:val="18"/>
        </w:rPr>
        <w:t>https://pubmed.ncbi.nlm.nih.gov/42734064/</w:t>
      </w:r>
    </w:p>
    <w:p>
      <w:pPr>
        <w:pStyle w:val="Heading2"/>
      </w:pPr>
      <w:r>
        <w:t>Geschlechtsspezifische Unterschiede bei Kryoballonablation bei Vorhofflimmern</w:t>
      </w:r>
    </w:p>
    <w:p>
      <w:r>
        <w:rPr>
          <w:i/>
          <w:color w:val="666666"/>
          <w:sz w:val="18"/>
        </w:rPr>
        <w:t>Heil E et al.  ·  Europace  ·  02.09.2026  ·  PMID 42696497</w:t>
      </w:r>
    </w:p>
    <w:p>
      <w:r>
        <w:t>Deutsche Registerstudie aus dem Deutschen Herzzentrum der Charité zu Unterschieden bei Läsionserzeugung und VHF-Rezidiven nach Kryoballonablation zwischen Männern und Frauen.</w:t>
      </w:r>
    </w:p>
    <w:p>
      <w:r>
        <w:rPr>
          <w:b/>
        </w:rPr>
        <w:t xml:space="preserve">Ergebnis: </w:t>
      </w:r>
      <w:r>
        <w:t>Geschlechtsspezifische Unterschiede in Läsionsmerkamlen und Rezidivraten werden identifiziert - die genauen Zahlen sind im zur Verfügung stehenden Abstract nicht genannt, aber systematische Unterschiede in der Ablationswirksamkeit zwischen Frauen und Männern wurden nachgewiesen.</w:t>
      </w:r>
    </w:p>
    <w:p>
      <w:r>
        <w:rPr>
          <w:b/>
          <w:sz w:val="19"/>
        </w:rPr>
        <w:t xml:space="preserve">Übertragbarkeit: </w:t>
      </w:r>
      <w:r>
        <w:rPr>
          <w:sz w:val="19"/>
        </w:rPr>
        <w:t>Deutsche Klinikdaten, vergleichbare Dokumentation und Strukturen</w:t>
      </w:r>
    </w:p>
    <w:p>
      <w:r>
        <w:rPr>
          <w:color w:val="5A7D3A"/>
          <w:sz w:val="18"/>
        </w:rPr>
        <w:t>https://pubmed.ncbi.nlm.nih.gov/42696497/</w:t>
      </w:r>
    </w:p>
    <w:p>
      <w:pPr>
        <w:pStyle w:val="Heading2"/>
      </w:pPr>
      <w:r>
        <w:t>Zielplatzierung der Ventrikelektrodenposition - keine Verbesserung der Krankenhausaufenthalte</w:t>
      </w:r>
    </w:p>
    <w:p>
      <w:r>
        <w:rPr>
          <w:i/>
          <w:color w:val="666666"/>
          <w:sz w:val="18"/>
        </w:rPr>
        <w:t>Nielsen JC et al.  ·  Lancet  ·  26.09.2026  ·  PMID 42673980</w:t>
      </w:r>
    </w:p>
    <w:p>
      <w:r>
        <w:t>Randomisierte kontrollierte Studie aus Dänemark zur Frage, ob die Positionierung der LV-Elektrode an der Stelle spätester elektrischer Aktivierung bei der biventrikulären Therapie der Herzinsuffizienz (HF) Todesfälle oder HF-Hospitalisierungen reduziert.</w:t>
      </w:r>
    </w:p>
    <w:p>
      <w:r>
        <w:rPr>
          <w:b/>
        </w:rPr>
        <w:t xml:space="preserve">Ergebnis: </w:t>
      </w:r>
      <w:r>
        <w:t>Unter 1000 Patienten mit HF und breitem QRS trat der primäre Endpunkt in 28 % der Interventionsgruppe vs. 26 % der Kontrollgruppe auf (HR 1,10, 95%-KI 0,86–1,39; p=0,45). Komplikationen waren ähnlich, aber Elektrodenkomplikationen häufiger in der Interventionsgruppe. Zielgerichtete Elektrodenplatzierung reduzierte Todesfälle oder HF-Hospitalisierungen nicht.</w:t>
      </w:r>
    </w:p>
    <w:p>
      <w:r>
        <w:rPr>
          <w:b/>
          <w:sz w:val="19"/>
        </w:rPr>
        <w:t xml:space="preserve">Übertragbarkeit: </w:t>
      </w:r>
      <w:r>
        <w:rPr>
          <w:sz w:val="19"/>
        </w:rPr>
        <w:t>Dänemark, nationales, multizentrisch koordiniertes Versorgungssystem, übertragbar auf Deutschland</w:t>
      </w:r>
    </w:p>
    <w:p>
      <w:r>
        <w:rPr>
          <w:color w:val="5A7D3A"/>
          <w:sz w:val="18"/>
        </w:rPr>
        <w:t>https://pubmed.ncbi.nlm.nih.gov/42673980/</w:t>
      </w:r>
    </w:p>
    <w:p>
      <w:pPr>
        <w:pStyle w:val="Heading2"/>
      </w:pPr>
      <w:r>
        <w:t>Hämoglobin bei Herzinsuffizienz - kontextabhängige Deutung von Normalwerten erforderlich</w:t>
      </w:r>
    </w:p>
    <w:p>
      <w:r>
        <w:rPr>
          <w:i/>
          <w:color w:val="666666"/>
          <w:sz w:val="18"/>
        </w:rPr>
        <w:t>Anker SD et al.  ·  J Am Coll Cardiol  ·  28.08.2026  ·  PMID 42670736</w:t>
      </w:r>
    </w:p>
    <w:p>
      <w:r>
        <w:t>Kritische Analyse zur Rolle des Hämoglobins bei Herzinsuffizienzpatienten mit Bezug auf prognostische Implikationen und individualisierte Therapieentscheidungen.</w:t>
      </w:r>
    </w:p>
    <w:p>
      <w:r>
        <w:rPr>
          <w:b/>
        </w:rPr>
        <w:t xml:space="preserve">Ergebnis: </w:t>
      </w:r>
      <w:r>
        <w:t>Während Anämie ein Risikofaktor ist, ist der prädiktive Wert von Hämoglobinwerten im Normalbereich bei HF nicht linear und stark abhängig von Begleiterkrankungen. Normale Hämoglobinwerte können bei HF-Patienten mit Niereninsuffizienz oder anderen Begleiterkrankungen pathologische Bedeutung haben.</w:t>
      </w:r>
    </w:p>
    <w:p>
      <w:r>
        <w:rPr>
          <w:b/>
          <w:sz w:val="19"/>
        </w:rPr>
        <w:t xml:space="preserve">Übertragbarkeit: </w:t>
      </w:r>
      <w:r>
        <w:rPr>
          <w:sz w:val="19"/>
        </w:rPr>
        <w:t>Europäische und deutsche Praxis, etablierte Definitionen gelten auch hier</w:t>
      </w:r>
    </w:p>
    <w:p>
      <w:r>
        <w:rPr>
          <w:color w:val="5A7D3A"/>
          <w:sz w:val="18"/>
        </w:rPr>
        <w:t>https://pubmed.ncbi.nlm.nih.gov/42670736/</w:t>
      </w:r>
    </w:p>
    <w:p>
      <w:pPr>
        <w:pStyle w:val="Heading1"/>
      </w:pPr>
      <w:r>
        <w:t>Aufgenommen am 24.09.2026</w:t>
      </w:r>
    </w:p>
    <w:p>
      <w:pPr>
        <w:pStyle w:val="Heading2"/>
      </w:pPr>
      <w:r>
        <w:t>Orale Hormontherapie erhöht thrombotische Ereignisse in der Menopause deutlich</w:t>
      </w:r>
    </w:p>
    <w:p>
      <w:r>
        <w:rPr>
          <w:i/>
          <w:color w:val="666666"/>
          <w:sz w:val="18"/>
        </w:rPr>
        <w:t>Berggreen J et al.  ·  BMJ  ·  23.09.2026  ·  PMID 42778212</w:t>
      </w:r>
    </w:p>
    <w:p>
      <w:r>
        <w:t>Dänische Kohortenstudie mit 9807 Frauen mit venöser Thromboembolie, 18460 mit ischämischem Schlaganfall und 11974 mit Herzinfarkt zwischen 2003 und 2021; Vergleich zwischen Frauen mit und ohne Hormontherapie.</w:t>
      </w:r>
    </w:p>
    <w:p>
      <w:r>
        <w:rPr>
          <w:b/>
        </w:rPr>
        <w:t xml:space="preserve">Ergebnis: </w:t>
      </w:r>
      <w:r>
        <w:t>Oral-Östrogen-Therapie erhöhte gegenüber Nichtanwendung: Venöse Thromboembolie HR 1,6 (95% CI 1,5–1,8), ischämischer Schlaganfall HR 1,3 (1,2–1,4), Herzinfarkt HR 1,2 (1,1–1,3). Absolute Risikozunahme pro Jahr: 0,09% (VTE), 0,06% (Schlaganfall), 0,03% (Herzinfarkt). Transdermal-Therapie zeigte keine erhöhten Risiken außer für kombinierte zyklische Therapie (MI HR 2,1). Die Risiken stiegen mit Dosis (&gt;1 mg/Tag) und Dauer (&gt;5 Jahre).</w:t>
      </w:r>
    </w:p>
    <w:p>
      <w:r>
        <w:rPr>
          <w:b/>
          <w:sz w:val="19"/>
        </w:rPr>
        <w:t xml:space="preserve">Übertragbarkeit: </w:t>
      </w:r>
      <w:r>
        <w:rPr>
          <w:sz w:val="19"/>
        </w:rPr>
        <w:t>Dänische Registerdaten, europäischer Sozialversicherungskontext, direkt übertragbar</w:t>
      </w:r>
    </w:p>
    <w:p>
      <w:r>
        <w:rPr>
          <w:color w:val="5A7D3A"/>
          <w:sz w:val="18"/>
        </w:rPr>
        <w:t>https://pubmed.ncbi.nlm.nih.gov/42778212/</w:t>
      </w:r>
    </w:p>
    <w:p>
      <w:pPr>
        <w:pStyle w:val="Heading2"/>
      </w:pPr>
      <w:r>
        <w:t>Finerenon bei Herzinsuffizienz mit unerkannter chronischer Nierenerkrankung</w:t>
      </w:r>
    </w:p>
    <w:p>
      <w:r>
        <w:rPr>
          <w:i/>
          <w:color w:val="666666"/>
          <w:sz w:val="18"/>
        </w:rPr>
        <w:t>Ostrominski JW et al.  ·  JAMA Cardiol  ·  23.09.2026  ·  PMID 42776557</w:t>
      </w:r>
    </w:p>
    <w:p>
      <w:r>
        <w:t>Sekundäranalyse der FINEARTS-HF-Studie zur Prävalenz und kardiovaskulären Folgen undiagnostizierter chronischer Nierenerkrankung bei Herzinsuffizienz-Hochrisikopatienten.</w:t>
      </w:r>
    </w:p>
    <w:p>
      <w:r>
        <w:rPr>
          <w:b/>
        </w:rPr>
        <w:t xml:space="preserve">Ergebnis: </w:t>
      </w:r>
      <w:r>
        <w:t>Keine Abstrakt-Ergebnisse verfügbar (nur Ankündigung der Analyse); Sekundäranalyse ohne benannte Endpunkte im Abstract.</w:t>
      </w:r>
    </w:p>
    <w:p>
      <w:r>
        <w:rPr>
          <w:color w:val="5A7D3A"/>
          <w:sz w:val="18"/>
        </w:rPr>
        <w:t>https://pubmed.ncbi.nlm.nih.gov/42776557/</w:t>
      </w:r>
    </w:p>
    <w:p>
      <w:pPr>
        <w:pStyle w:val="Heading2"/>
      </w:pPr>
      <w:r>
        <w:t>Neue Flussparameter senken unbestimmte Stress-Echos bei Aortenstenose</w:t>
      </w:r>
    </w:p>
    <w:p>
      <w:r>
        <w:rPr>
          <w:i/>
          <w:color w:val="666666"/>
          <w:sz w:val="18"/>
        </w:rPr>
        <w:t>Vamvakidou A et al.  ·  Circ Cardiovasc Imaging  ·  23.09.2026  ·  PMID 42775464</w:t>
      </w:r>
    </w:p>
    <w:p>
      <w:r>
        <w:t>Retrospektive europäische Multicenterstudie mit 287 Patienten mit Low-gradient-Aortenstenose und Dobutamin-Stressechokardiographie; Bewertung konventioneller vs. neuer transvalvulärer Flusskriterien.</w:t>
      </w:r>
    </w:p>
    <w:p>
      <w:r>
        <w:rPr>
          <w:b/>
        </w:rPr>
        <w:t xml:space="preserve">Ergebnis: </w:t>
      </w:r>
      <w:r>
        <w:t>Mit konventionellen Kriterien: 43% unbestimmte Befunde. Mit neuen Flusskriterien sank dieser Anteil auf 9%. Bei 84 (29%) Patienten mit angewandten neuen Kriterien hatte Aortenklappenintervention einen Überlebensvorteil (HR 0,50; 95% CI 0,27–0,92; p=0,03). Die neuen Kriterien verbesserten diagnostische Testraten von 57% auf 91% insgesamt.</w:t>
      </w:r>
    </w:p>
    <w:p>
      <w:r>
        <w:rPr>
          <w:b/>
          <w:sz w:val="19"/>
        </w:rPr>
        <w:t xml:space="preserve">Übertragbarkeit: </w:t>
      </w:r>
      <w:r>
        <w:rPr>
          <w:sz w:val="19"/>
        </w:rPr>
        <w:t>Multi-nationale europäische Studie, vergleichbare Leitlinien und Echokardiographie-Standards</w:t>
      </w:r>
    </w:p>
    <w:p>
      <w:r>
        <w:rPr>
          <w:color w:val="5A7D3A"/>
          <w:sz w:val="18"/>
        </w:rPr>
        <w:t>https://pubmed.ncbi.nlm.nih.gov/42775464/</w:t>
      </w:r>
    </w:p>
    <w:p>
      <w:pPr>
        <w:pStyle w:val="Heading2"/>
      </w:pPr>
      <w:r>
        <w:t>Asb2-KIF11-Achse schützt vor Herzinsuffizienz durch Lysosomal-Homöostase</w:t>
      </w:r>
    </w:p>
    <w:p>
      <w:r>
        <w:rPr>
          <w:i/>
          <w:color w:val="666666"/>
          <w:sz w:val="18"/>
        </w:rPr>
        <w:t>Lv Y et al.  ·  Circulation  ·  22.09.2026  ·  PMID 42770210</w:t>
      </w:r>
    </w:p>
    <w:p>
      <w:r>
        <w:t>Präklinische Studie in transgenen Mäusen: Asb2-Mangel führte zu Herzinsuffizienz; Wiederherstellung von Asb2 oder KIF11-Inhibition verbesserte Herzfunktion bei Druckbelastung und Alterung.</w:t>
      </w:r>
    </w:p>
    <w:p>
      <w:r>
        <w:rPr>
          <w:b/>
        </w:rPr>
        <w:t xml:space="preserve">Ergebnis: </w:t>
      </w:r>
      <w:r>
        <w:t>Asb2-defiziente Mäuse entwickelten spontan kardialen Hypertrophie und Herzinsuffizienz mit Mitochondrien-Dysfunktion. Therapeutische Asb2-Wiederherstellung attenuierte Druckbelastungs- und altersinduzierte Kardiomyopathie. Sowohl genetische als auch pharmakologische KIF11-Inhibition besserte pathologisches kardialen Remodeling in Asb2-defizienten Herzen und TAC-induzierter Dysfunktion.</w:t>
      </w:r>
    </w:p>
    <w:p>
      <w:r>
        <w:rPr>
          <w:b/>
          <w:sz w:val="19"/>
        </w:rPr>
        <w:t xml:space="preserve">Übertragbarkeit: </w:t>
      </w:r>
      <w:r>
        <w:rPr>
          <w:sz w:val="19"/>
        </w:rPr>
        <w:t>Mausmodell, Grundlagen-Zielstruktur KIF11, noch klinisch nicht gestestet</w:t>
      </w:r>
    </w:p>
    <w:p>
      <w:r>
        <w:rPr>
          <w:color w:val="5A7D3A"/>
          <w:sz w:val="18"/>
        </w:rPr>
        <w:t>https://pubmed.ncbi.nlm.nih.gov/42770210/</w:t>
      </w:r>
    </w:p>
    <w:p>
      <w:pPr>
        <w:pStyle w:val="Heading2"/>
      </w:pPr>
      <w:r>
        <w:t>Pulmonalarterien-Compliance vorhersagt schlechte Prognose bei rechtsventrikulärer Dysfunktion</w:t>
      </w:r>
    </w:p>
    <w:p>
      <w:r>
        <w:rPr>
          <w:i/>
          <w:color w:val="666666"/>
          <w:sz w:val="18"/>
        </w:rPr>
        <w:t>Nishikawa K et al.  ·  Open Heart  ·  21.09.2026  ·  PMID 42767710</w:t>
      </w:r>
    </w:p>
    <w:p>
      <w:r>
        <w:t>Japanische Kohortenstudie mit 155 Patienten (202 Rechtsherzkateter); Untersuchung von Hämodynamik-Parametern und prognostischen Prädiktoren bei rechtsventrikulärer Dysfunktion und Herzinsuffizienz.</w:t>
      </w:r>
    </w:p>
    <w:p>
      <w:r>
        <w:rPr>
          <w:b/>
        </w:rPr>
        <w:t xml:space="preserve">Ergebnis: </w:t>
      </w:r>
      <w:r>
        <w:t>Optimales Herzminuten-Volumen erreicht bei RAP 10–15 mm Hg. Herzfrequenz zeigte nicht-linearen Zusammenhang mit Herzminutenvolumen (Gipfel ~80 bpm). PA-Compliance &lt;4,9 mL/mm Hg war unabhängiger Prädiktor des primären Endpunkts (Tod oder HF-Hospitalisierung) über 1,4 Jahre Median-Follow-up. RAP &gt;10 mm Hg war in univariaten, nicht aber multivariaten Analysen signifikant.</w:t>
      </w:r>
    </w:p>
    <w:p>
      <w:r>
        <w:rPr>
          <w:b/>
          <w:sz w:val="19"/>
        </w:rPr>
        <w:t xml:space="preserve">Übertragbarkeit: </w:t>
      </w:r>
      <w:r>
        <w:rPr>
          <w:sz w:val="19"/>
        </w:rPr>
        <w:t>Japan-Kohorte, physiologische Parameter übertragbar auf deutsches Katheter-Setting</w:t>
      </w:r>
    </w:p>
    <w:p>
      <w:r>
        <w:rPr>
          <w:color w:val="5A7D3A"/>
          <w:sz w:val="18"/>
        </w:rPr>
        <w:t>https://pubmed.ncbi.nlm.nih.gov/42767710/</w:t>
      </w:r>
    </w:p>
    <w:p>
      <w:pPr>
        <w:pStyle w:val="Heading2"/>
      </w:pPr>
      <w:r>
        <w:t>Standardisiertes Imaging für linksventrikuläre Appendage-Verschluss-Prozeduren</w:t>
      </w:r>
    </w:p>
    <w:p>
      <w:r>
        <w:rPr>
          <w:i/>
          <w:color w:val="666666"/>
          <w:sz w:val="18"/>
        </w:rPr>
        <w:t>Wunderlich NC et al.  ·  EuroIntervention  ·  07.09.2026  ·  PMID 42703764</w:t>
      </w:r>
    </w:p>
    <w:p>
      <w:r>
        <w:t>Europäischer Experten-Konsens der ELAACC mit vereinheitlichtem Rahmen für prä-, intra- und postprozedurales Imaging beim links-atrialen-Appendage-Verschluss zur Reduktion von Variabilität und Verbesserung der Reproduzierbarkeit.</w:t>
      </w:r>
    </w:p>
    <w:p>
      <w:r>
        <w:rPr>
          <w:b/>
        </w:rPr>
        <w:t xml:space="preserve">Ergebnis: </w:t>
      </w:r>
      <w:r>
        <w:t>Konsens empfiehlt hochqualitative 3D-Bildakquisition, multiplanare Rekonstruktion, standardisierte Nomenklatur und Messungen. Prä-prozedural: 3D-Bildgebung und Measurements. Intra-prozedural: 3D-TEE, ICE, Fusionsbildgebung für Punktion und Device-Platzierung. Post-prozedural: Harmonisierte Echo- und CT-Kriterien für Device-Thrombus, Leck und Stabilität mit strukturiertem Follow-up-Pfad.</w:t>
      </w:r>
    </w:p>
    <w:p>
      <w:r>
        <w:rPr>
          <w:b/>
          <w:sz w:val="19"/>
        </w:rPr>
        <w:t xml:space="preserve">Übertragbarkeit: </w:t>
      </w:r>
      <w:r>
        <w:rPr>
          <w:sz w:val="19"/>
        </w:rPr>
        <w:t>Europäische Expertengruppe, deutsches Versorgungssystem beteiligt, unmittelbar umsetzbar</w:t>
      </w:r>
    </w:p>
    <w:p>
      <w:r>
        <w:rPr>
          <w:color w:val="5A7D3A"/>
          <w:sz w:val="18"/>
        </w:rPr>
        <w:t>https://pubmed.ncbi.nlm.nih.gov/42703764/</w:t>
      </w:r>
    </w:p>
    <w:p>
      <w:pPr>
        <w:pStyle w:val="Heading1"/>
      </w:pPr>
      <w:r>
        <w:t>Aufgenommen am 23.09.2026</w:t>
      </w:r>
    </w:p>
    <w:p>
      <w:pPr>
        <w:pStyle w:val="Heading2"/>
      </w:pPr>
      <w:r>
        <w:t>Refibrillation nach öffentlichen Defibrillatoren in Laienreanimation</w:t>
      </w:r>
    </w:p>
    <w:p>
      <w:r>
        <w:rPr>
          <w:i/>
          <w:color w:val="666666"/>
          <w:sz w:val="18"/>
        </w:rPr>
        <w:t>Kernaghan A et al.  ·  Open Heart  ·  22.09.2026  ·  PMID 42772919</w:t>
      </w:r>
    </w:p>
    <w:p>
      <w:r>
        <w:t>Analyse von 1.459 Herzstillstands-Patienten mit öffentlichen Defibrillatoren, um Refibrillations-Muster und zeitliche Verläufe zu beschreiben.</w:t>
      </w:r>
    </w:p>
    <w:p>
      <w:r>
        <w:rPr>
          <w:b/>
        </w:rPr>
        <w:t xml:space="preserve">Ergebnis: </w:t>
      </w:r>
      <w:r>
        <w:t>Refibrillation trat bei 498 Patienten (34,1%) auf mit Median-Zeit von 29,8 s nach erfolgreichem Schock. Nur 11 Patienten (4,8% der 231 mit drei Schocks) hatten schockresistentes Kammerflimmern. Bei 2-Minuten-CPR-Zyklen folgt der nächste Schock etwa 90 s später; dies unterstreicht, dass Refibrillation ein relevantes Phänomen ist.</w:t>
      </w:r>
    </w:p>
    <w:p>
      <w:r>
        <w:rPr>
          <w:b/>
          <w:sz w:val="19"/>
        </w:rPr>
        <w:t xml:space="preserve">Übertragbarkeit: </w:t>
      </w:r>
      <w:r>
        <w:rPr>
          <w:sz w:val="19"/>
        </w:rPr>
        <w:t>UK-Daten, Defibrillations-Physiologie universal</w:t>
      </w:r>
    </w:p>
    <w:p>
      <w:r>
        <w:rPr>
          <w:color w:val="5A7D3A"/>
          <w:sz w:val="18"/>
        </w:rPr>
        <w:t>https://pubmed.ncbi.nlm.nih.gov/42772919/</w:t>
      </w:r>
    </w:p>
    <w:p>
      <w:pPr>
        <w:pStyle w:val="Heading2"/>
      </w:pPr>
      <w:r>
        <w:t>Diabetes Typ 2 verschlimmert Fibrosen und Ausgang bei hypertrophischer Kardiomyopathie</w:t>
      </w:r>
    </w:p>
    <w:p>
      <w:r>
        <w:rPr>
          <w:i/>
          <w:color w:val="666666"/>
          <w:sz w:val="18"/>
        </w:rPr>
        <w:t>Cao Y et al.  ·  Int J Cardiol  ·  22.09.2026  ·  PMID 42772601</w:t>
      </w:r>
    </w:p>
    <w:p>
      <w:r>
        <w:t>Kardiale Magnetresonanz-Studie an 582 HCM-Patienten mit/ohne Diabetes Typ 2 zur Einschätzung struktureller und prognostischer Unterschiede.</w:t>
      </w:r>
    </w:p>
    <w:p>
      <w:r>
        <w:rPr>
          <w:b/>
        </w:rPr>
        <w:t xml:space="preserve">Ergebnis: </w:t>
      </w:r>
      <w:r>
        <w:t>HbA1c-Erhöhung war mit stärkerer Fibrosen-Last (6,1% vs. 2,3% late gadolinium enhancement; p &lt; 0,001) und schlechterer linksventrikulärer Längsdehnung (11,0% vs. 11,9%; p = 0,002) assoziiert. Über 35 Monate Nachsorge hatten T2DM-Patienten höheres Risiko für Endpunkt-Ereignisse (24% vs. 16%; p = 0,015). Mediationsanalyse zeigte 71% Effekt über Fibrosen vermittelt.</w:t>
      </w:r>
    </w:p>
    <w:p>
      <w:r>
        <w:rPr>
          <w:b/>
          <w:sz w:val="19"/>
        </w:rPr>
        <w:t xml:space="preserve">Übertragbarkeit: </w:t>
      </w:r>
      <w:r>
        <w:rPr>
          <w:sz w:val="19"/>
        </w:rPr>
        <w:t>China, prospektive Validierung nötig, aber HCM-Phänotyp global konsistent</w:t>
      </w:r>
    </w:p>
    <w:p>
      <w:r>
        <w:rPr>
          <w:color w:val="5A7D3A"/>
          <w:sz w:val="18"/>
        </w:rPr>
        <w:t>https://pubmed.ncbi.nlm.nih.gov/42772601/</w:t>
      </w:r>
    </w:p>
    <w:p>
      <w:pPr>
        <w:pStyle w:val="Heading2"/>
      </w:pPr>
      <w:r>
        <w:t>Interleukin-8 und Neutrophilen-Biomarker für 1-Jahres-Sterblichkeit nach Herzinfarkt</w:t>
      </w:r>
    </w:p>
    <w:p>
      <w:r>
        <w:rPr>
          <w:i/>
          <w:color w:val="666666"/>
          <w:sz w:val="18"/>
        </w:rPr>
        <w:t>Wang YJ et al.  ·  Clin Res Cardiol  ·  22.09.2026  ·  PMID 42771188</w:t>
      </w:r>
    </w:p>
    <w:p>
      <w:r>
        <w:t>Untersuchung, welche Neutrophilen-assoziierten Biomarker bei Herzinfarkt-Patienten die 1-Jahres-Sterblichkeit vorhersagen.</w:t>
      </w:r>
    </w:p>
    <w:p>
      <w:r>
        <w:rPr>
          <w:b/>
        </w:rPr>
        <w:t xml:space="preserve">Ergebnis: </w:t>
      </w:r>
      <w:r>
        <w:t>IL-8 (Median: 66,82 vs. 41,24 pg/mL; p = 0,001) und zellfreie DNA waren signifikant erhöht bei Fällen mit Tod oder erneutem Herzinfarkt innerhalb eines Jahres. IL-8 zeigte die stärkste Assoziation mit Sterblichkeit (OR = 2,14; p = 0,019 für Tod) und war am höchsten in der hyperakuten Phase (&lt;6 h), noch vor hochsensitivem Troponin T. Diese Marker könnten die frühe Risikostratifizierung verbessern.</w:t>
      </w:r>
    </w:p>
    <w:p>
      <w:r>
        <w:rPr>
          <w:b/>
          <w:sz w:val="19"/>
        </w:rPr>
        <w:t xml:space="preserve">Übertragbarkeit: </w:t>
      </w:r>
      <w:r>
        <w:rPr>
          <w:sz w:val="19"/>
        </w:rPr>
        <w:t>Schweizer Kohortendaten (SPUM-ACS), vergleichbar mit deutschem Dokumentations­standard</w:t>
      </w:r>
    </w:p>
    <w:p>
      <w:r>
        <w:rPr>
          <w:color w:val="5A7D3A"/>
          <w:sz w:val="18"/>
        </w:rPr>
        <w:t>https://pubmed.ncbi.nlm.nih.gov/42771188/</w:t>
      </w:r>
    </w:p>
    <w:p>
      <w:pPr>
        <w:pStyle w:val="Heading2"/>
      </w:pPr>
      <w:r>
        <w:t>Frühe Empagliflozin-Gabe senkt Sterblichkeit nach Herzinsuffizienz-Hospitalisierung</w:t>
      </w:r>
    </w:p>
    <w:p>
      <w:r>
        <w:rPr>
          <w:i/>
          <w:color w:val="666666"/>
          <w:sz w:val="18"/>
        </w:rPr>
        <w:t>Greene SJ et al.  ·  ESC Heart Fail  ·  22.09.2026  ·  PMID 42770322</w:t>
      </w:r>
    </w:p>
    <w:p>
      <w:r>
        <w:t>Vergleich der 1-Jahres-Ergebnisse bei früher (während Aufenthalt oder 0–7 Tage nach Entlassung) versus verzögerter oder keiner Empagliflozin-Initiation nach Krankenhausaufenthalt wegen Herzinsuffizienz.</w:t>
      </w:r>
    </w:p>
    <w:p>
      <w:r>
        <w:rPr>
          <w:b/>
        </w:rPr>
        <w:t xml:space="preserve">Ergebnis: </w:t>
      </w:r>
      <w:r>
        <w:t>Frühe Empagliflozin-Initiation war mit niedrigerer 1-Jahres-Sterblichkeit assoziiert (RR 0,73, 95%-KI: 0,69–0,78). Absolute Mortalitätsrisiken betrugen 24,7% (früh), 31,1% (intermediate) und 33,6% (verzögert/keine). Frühe Initiation reduzierte auch Wiederaufnahmen (RR 0,86, KI: 0,81–0,92) und Notfall-Besuche (RR 0,87, KI: 0,82–0,93).</w:t>
      </w:r>
    </w:p>
    <w:p>
      <w:r>
        <w:rPr>
          <w:b/>
          <w:sz w:val="19"/>
        </w:rPr>
        <w:t xml:space="preserve">Übertragbarkeit: </w:t>
      </w:r>
      <w:r>
        <w:rPr>
          <w:sz w:val="19"/>
        </w:rPr>
        <w:t>US-Verwaltungsdaten (Optum), Ergebnis unabhängig von Versorgungssystem</w:t>
      </w:r>
    </w:p>
    <w:p>
      <w:r>
        <w:rPr>
          <w:color w:val="5A7D3A"/>
          <w:sz w:val="18"/>
        </w:rPr>
        <w:t>https://pubmed.ncbi.nlm.nih.gov/42770322/</w:t>
      </w:r>
    </w:p>
    <w:p>
      <w:pPr>
        <w:pStyle w:val="Heading2"/>
      </w:pPr>
      <w:r>
        <w:t>Kurzkettige Fettsäuren fördern Herzinfarkt-Heilung via Makrophagen-Weg</w:t>
      </w:r>
    </w:p>
    <w:p>
      <w:r>
        <w:rPr>
          <w:i/>
          <w:color w:val="666666"/>
          <w:sz w:val="18"/>
        </w:rPr>
        <w:t>Zhang Q et al.  ·  Basic Res Cardiol  ·  21.09.2026  ·  PMID 42766108</w:t>
      </w:r>
    </w:p>
    <w:p>
      <w:r>
        <w:t>Integrierte klinische und experimentelle Studie zum Einfluss von Blutspiegel-Kurzkettige-Fettsäuren (Butyrat, Propionat) auf Post-Infarkt-Remodeling im Menschen und Mausmodell.</w:t>
      </w:r>
    </w:p>
    <w:p>
      <w:r>
        <w:rPr>
          <w:b/>
        </w:rPr>
        <w:t xml:space="preserve">Ergebnis: </w:t>
      </w:r>
      <w:r>
        <w:t>Im Menschen waren zirkulierende Kurzketten-Fettsäuren nach Herzinfarkt deutlich erniedrigt und assoziiert mit komplexeren koronaren Läsionen und höherem MACE-Risiko. Im Maus-Herzinfarkt: SCFA-Supplementierung reduzierte Infarkt-Expansion, Kardiomyozyten-Apoptose und kardiale Ruptur und verbesserte linksventrikuläre Funktion. Mechanistisch: FFAR2-Aktivierung unterdrückt osteoklasten-ähnliche Makrophagen-Differenzierung.</w:t>
      </w:r>
    </w:p>
    <w:p>
      <w:r>
        <w:rPr>
          <w:b/>
          <w:sz w:val="19"/>
        </w:rPr>
        <w:t xml:space="preserve">Übertragbarkeit: </w:t>
      </w:r>
      <w:r>
        <w:rPr>
          <w:sz w:val="19"/>
        </w:rPr>
        <w:t>Deutsch-chinesische Kooperation (Beijing), Mechanisms gelten translational</w:t>
      </w:r>
    </w:p>
    <w:p>
      <w:r>
        <w:rPr>
          <w:color w:val="5A7D3A"/>
          <w:sz w:val="18"/>
        </w:rPr>
        <w:t>https://pubmed.ncbi.nlm.nih.gov/42766108/</w:t>
      </w:r>
    </w:p>
    <w:p>
      <w:pPr>
        <w:pStyle w:val="Heading2"/>
      </w:pPr>
      <w:r>
        <w:t>Neuer Kalziumkanal-Modulator bessert hypertrophe Kardiomyopathie</w:t>
      </w:r>
    </w:p>
    <w:p>
      <w:r>
        <w:rPr>
          <w:i/>
          <w:color w:val="666666"/>
          <w:sz w:val="18"/>
        </w:rPr>
        <w:t>Er TS et al.  ·  Circ Res  ·  18.09.2026  ·  PMID 42755710</w:t>
      </w:r>
    </w:p>
    <w:p>
      <w:r>
        <w:t>Experimentelle Grundlagenstudie an einem Tiermodell zur Wirksamkeit eines neuartigen Kalziumkanal-Modulators gegen Herzhypertrophie.</w:t>
      </w:r>
    </w:p>
    <w:p>
      <w:r>
        <w:rPr>
          <w:b/>
        </w:rPr>
        <w:t xml:space="preserve">Ergebnis: </w:t>
      </w:r>
      <w:r>
        <w:t>Abstract stellt nur die Untersuchung dar, nennt aber keine quantitativen Ergebnisse zur Wirkung oder zum Ausmaß der Besserung.</w:t>
      </w:r>
    </w:p>
    <w:p>
      <w:r>
        <w:rPr>
          <w:b/>
          <w:sz w:val="19"/>
        </w:rPr>
        <w:t xml:space="preserve">Übertragbarkeit: </w:t>
      </w:r>
      <w:r>
        <w:rPr>
          <w:sz w:val="19"/>
        </w:rPr>
        <w:t>Australisch-deutsches Grundlagenwerk, noch klinischer Weg unklar</w:t>
      </w:r>
    </w:p>
    <w:p>
      <w:r>
        <w:rPr>
          <w:color w:val="5A7D3A"/>
          <w:sz w:val="18"/>
        </w:rPr>
        <w:t>https://pubmed.ncbi.nlm.nih.gov/42755710/</w:t>
      </w:r>
    </w:p>
    <w:p>
      <w:pPr>
        <w:pStyle w:val="Heading1"/>
      </w:pPr>
      <w:r>
        <w:t>Aufgenommen am 22.09.2026</w:t>
      </w:r>
    </w:p>
    <w:p>
      <w:pPr>
        <w:pStyle w:val="Heading2"/>
      </w:pPr>
      <w:r>
        <w:t>Blutdruckoptimierung senkt intrakranielle Blutung nach Tenecteplase bei Myokardinfarkt</w:t>
      </w:r>
    </w:p>
    <w:p>
      <w:r>
        <w:rPr>
          <w:i/>
          <w:color w:val="666666"/>
          <w:sz w:val="18"/>
        </w:rPr>
        <w:t>Armstrong PW et al.  ·  Eur Heart J  ·  21.09.2026  ·  PMID 42766418</w:t>
      </w:r>
    </w:p>
    <w:p>
      <w:r>
        <w:t>Poolanalyse von 15.954 STEMI-Patienten aus 6 randomisierten Studien zur Ermittlung von Risikofaktoren für intrakranielle Blutung nach Fibrinolyse-Therapie mit Tenecteplase.</w:t>
      </w:r>
    </w:p>
    <w:p>
      <w:r>
        <w:rPr>
          <w:b/>
        </w:rPr>
        <w:t xml:space="preserve">Ergebnis: </w:t>
      </w:r>
      <w:r>
        <w:t>Für jeden 1 mmHg Anstieg des systolischen Blutdrucks über 110 mmHg erhöhte sich das ICH-Risiko um 2% (aOR 1,02; KI 1,01–1,03; p&lt;0,0001). Weibliches Geschlecht (aOR 1,49; KI 1,06–2,11) und niedriges Körpergewicht (je 5 kg Abnahme aOR 1,16; KI 1,03–1,30) erhöhten das Risiko signifikant. Ein Nomogramm mit Age-Dose-Interaktion zeigte gute Diskriminanz (C-Index 0,718).</w:t>
      </w:r>
    </w:p>
    <w:p>
      <w:r>
        <w:rPr>
          <w:b/>
          <w:sz w:val="19"/>
        </w:rPr>
        <w:t xml:space="preserve">Übertragbarkeit: </w:t>
      </w:r>
      <w:r>
        <w:rPr>
          <w:sz w:val="19"/>
        </w:rPr>
        <w:t>Internationale Myokardinfarkt-Studien mit standardisierter Blutdruck-Exclusion</w:t>
      </w:r>
    </w:p>
    <w:p>
      <w:r>
        <w:rPr>
          <w:color w:val="5A7D3A"/>
          <w:sz w:val="18"/>
        </w:rPr>
        <w:t>https://pubmed.ncbi.nlm.nih.gov/42766418/</w:t>
      </w:r>
    </w:p>
    <w:p>
      <w:pPr>
        <w:pStyle w:val="Heading2"/>
      </w:pPr>
      <w:r>
        <w:t>FFR-gesteuertes Revaskularisieren bei NSTE-ACS verringert unnötige Eingriffe</w:t>
      </w:r>
    </w:p>
    <w:p>
      <w:r>
        <w:rPr>
          <w:i/>
          <w:color w:val="666666"/>
          <w:sz w:val="18"/>
        </w:rPr>
        <w:t>Paolucci L et al.  ·  EuroIntervention  ·  21.09.2026  ·  PMID 42765399</w:t>
      </w:r>
    </w:p>
    <w:p>
      <w:r>
        <w:t>Meta-Analyse von 5 randomisierten Studien mit 2.493 Patienten (52,8% Chronische Koronarsyndrom, 47,2% NSTE-ACS) zu Outcomes nach FFR-gesteuert vs. angiographisch-gesteuerter PCI.</w:t>
      </w:r>
    </w:p>
    <w:p>
      <w:r>
        <w:rPr>
          <w:b/>
        </w:rPr>
        <w:t xml:space="preserve">Ergebnis: </w:t>
      </w:r>
      <w:r>
        <w:t>FFR-Strategie war mit ähnlicher MACE-Rate bei 1 Jahr assoziiert in NSTE-ACS (HR 0,86; KI 0,63–1,18) und CCS (HR 0,78; KI 0,58–1,05); p-Interaktion=0,792. Keine erhöhte MACE-Rate durch Lesion-Deferral. Befund über 5 Jahre bestätigt.</w:t>
      </w:r>
    </w:p>
    <w:p>
      <w:r>
        <w:rPr>
          <w:b/>
          <w:sz w:val="19"/>
        </w:rPr>
        <w:t xml:space="preserve">Übertragbarkeit: </w:t>
      </w:r>
      <w:r>
        <w:rPr>
          <w:sz w:val="19"/>
        </w:rPr>
        <w:t>Europäische Studiennetze, direkt auf deutsches Revaskularisierungs-Management übertragbar</w:t>
      </w:r>
    </w:p>
    <w:p>
      <w:r>
        <w:rPr>
          <w:color w:val="5A7D3A"/>
          <w:sz w:val="18"/>
        </w:rPr>
        <w:t>https://pubmed.ncbi.nlm.nih.gov/42765399/</w:t>
      </w:r>
    </w:p>
    <w:p>
      <w:pPr>
        <w:pStyle w:val="Heading2"/>
      </w:pPr>
      <w:r>
        <w:t>SCAI-V-Klassifikation stratifiziert Kardiogenen Schock nach Reanimation und vorhersagt Sterblichkeit</w:t>
      </w:r>
    </w:p>
    <w:p>
      <w:r>
        <w:rPr>
          <w:i/>
          <w:color w:val="666666"/>
          <w:sz w:val="18"/>
        </w:rPr>
        <w:t>Roy R et al.  ·  EuroIntervention  ·  21.09.2026  ·  PMID 42765398</w:t>
      </w:r>
    </w:p>
    <w:p>
      <w:r>
        <w:t>Neue Klassifikation des kardiogenen Schocks nach außerklinischem Herzstillstand mittels Schockgrad und Laktat-Level; Derivation (London, Gdańsk; n=627) und externe Validation (TTM-2-Kohorte; n=1.781).</w:t>
      </w:r>
    </w:p>
    <w:p>
      <w:r>
        <w:rPr>
          <w:b/>
        </w:rPr>
        <w:t xml:space="preserve">Ergebnis: </w:t>
      </w:r>
      <w:r>
        <w:t>SCAI-V mit 4 Phänotypen: Non-Shock (Überlebensrate 78% Derivation, 68% Validation), Haemometabolic Shock (20%/27%) als höchstes Mortalitätsrisiko. SCAI-V zeigte besseres Model-Fit und Diskriminanz als SCAI-2022 und -2019. Alle-Ursachen-Mortalität p&lt;0,001.</w:t>
      </w:r>
    </w:p>
    <w:p>
      <w:r>
        <w:rPr>
          <w:b/>
          <w:sz w:val="19"/>
        </w:rPr>
        <w:t xml:space="preserve">Übertragbarkeit: </w:t>
      </w:r>
      <w:r>
        <w:rPr>
          <w:sz w:val="19"/>
        </w:rPr>
        <w:t>Europäische Intensivmedizin und Reanimations-Praxis, vergleichbare Standards</w:t>
      </w:r>
    </w:p>
    <w:p>
      <w:r>
        <w:rPr>
          <w:color w:val="5A7D3A"/>
          <w:sz w:val="18"/>
        </w:rPr>
        <w:t>https://pubmed.ncbi.nlm.nih.gov/42765398/</w:t>
      </w:r>
    </w:p>
    <w:p>
      <w:pPr>
        <w:pStyle w:val="Heading2"/>
      </w:pPr>
      <w:r>
        <w:t>Herztransplantation und mechanische Kreislaufunterstützung verbessern Lebensqualität älterer Patienten unterschiedlich</w:t>
      </w:r>
    </w:p>
    <w:p>
      <w:r>
        <w:rPr>
          <w:i/>
          <w:color w:val="666666"/>
          <w:sz w:val="18"/>
        </w:rPr>
        <w:t>Grady KL et al.  ·  Circ Heart Fail  ·  21.09.2026  ·  PMID 42765308</w:t>
      </w:r>
    </w:p>
    <w:p>
      <w:r>
        <w:t>Prospektive Beobachtungsstudie der SUSTAIN-IT-Studie mit 305 älteren Patienten (60–80 Jahre) von 13 US-Zentren zu Veränderung der gesundheitsbezogenen Lebensqualität vom präoperativen Zeitpunkt bis 24 Monate nach Herztransplantation oder mechanischer Unterstützung.</w:t>
      </w:r>
    </w:p>
    <w:p>
      <w:r>
        <w:rPr>
          <w:b/>
        </w:rPr>
        <w:t xml:space="preserve">Ergebnis: </w:t>
      </w:r>
      <w:r>
        <w:t>HT ohne Präoperative MCS und langfristige MCS: signifikante Verbesserung im EQ-5D-3L Visual Analog Scale innerhalb 6 Monaten, sustained über 24 Monate. Kansas City Cardiomyopathy Questionnaire verbesserte sich in allen 3 Gruppen. MCS zeigte Reduktion von -11,2 Punkten (KI -17,3 bis -5,1; p&lt;0,001) vs. HT ohne MCS.</w:t>
      </w:r>
    </w:p>
    <w:p>
      <w:r>
        <w:rPr>
          <w:b/>
          <w:sz w:val="19"/>
        </w:rPr>
        <w:t xml:space="preserve">Übertragbarkeit: </w:t>
      </w:r>
      <w:r>
        <w:rPr>
          <w:sz w:val="19"/>
        </w:rPr>
        <w:t>USA-Studie, aber HRQOL-Methoden und Outcomemessung sind international standardisiert</w:t>
      </w:r>
    </w:p>
    <w:p>
      <w:r>
        <w:rPr>
          <w:color w:val="5A7D3A"/>
          <w:sz w:val="18"/>
        </w:rPr>
        <w:t>https://pubmed.ncbi.nlm.nih.gov/42765308/</w:t>
      </w:r>
    </w:p>
    <w:p>
      <w:pPr>
        <w:pStyle w:val="Heading2"/>
      </w:pPr>
      <w:r>
        <w:t>Screeningalgorithmus für Titin-Trunkierungs-Träger senkt Überdiagnose und spart Ressourcen</w:t>
      </w:r>
    </w:p>
    <w:p>
      <w:r>
        <w:rPr>
          <w:i/>
          <w:color w:val="666666"/>
          <w:sz w:val="18"/>
        </w:rPr>
        <w:t>Muller SA et al.  ·  Circ Heart Fail  ·  21.09.2026  ·  PMID 42765307</w:t>
      </w:r>
    </w:p>
    <w:p>
      <w:r>
        <w:t>Multizentrische prospektive Studie von 413 verwandten Trägern pathogener Titin-Trunkierungs-Varianten (Folgup 301 Patienten, median 5,7 Jahre) zur Entwicklung eines Screening-Algorithmus für dilatative Kardiomyopathie.</w:t>
      </w:r>
    </w:p>
    <w:p>
      <w:r>
        <w:rPr>
          <w:b/>
        </w:rPr>
        <w:t xml:space="preserve">Ergebnis: </w:t>
      </w:r>
      <w:r>
        <w:t>24,6% entwickelten linksventrikuläre Disfunktion oder Dilatation, 17,3% DCM. 3 Risikoprofile definiert (partielle DCM, weiblich ≥30 Jahre, weiblich &lt;30 Jahre) mit empfohlenen Screening-Intervallen von 1, 3, 5 Jahren. 5,3% erlebten Major Adverse Cardiac Events nach DCM-Diagnose.</w:t>
      </w:r>
    </w:p>
    <w:p>
      <w:r>
        <w:rPr>
          <w:b/>
          <w:sz w:val="19"/>
        </w:rPr>
        <w:t xml:space="preserve">Übertragbarkeit: </w:t>
      </w:r>
      <w:r>
        <w:rPr>
          <w:sz w:val="19"/>
        </w:rPr>
        <w:t>Europäisches Netzwerk seltene Herzerkrankungen, nationale genetische Screeningprogramme</w:t>
      </w:r>
    </w:p>
    <w:p>
      <w:r>
        <w:rPr>
          <w:color w:val="5A7D3A"/>
          <w:sz w:val="18"/>
        </w:rPr>
        <w:t>https://pubmed.ncbi.nlm.nih.gov/42765307/</w:t>
      </w:r>
    </w:p>
    <w:p>
      <w:pPr>
        <w:pStyle w:val="Heading2"/>
      </w:pPr>
      <w:r>
        <w:t>Erhöhtes β-Hydroxybutyrat vorhersagt Sterblichkeit bei Herzinsuffizienz unabhängig von etablierten Risiken</w:t>
      </w:r>
    </w:p>
    <w:p>
      <w:r>
        <w:rPr>
          <w:i/>
          <w:color w:val="666666"/>
          <w:sz w:val="18"/>
        </w:rPr>
        <w:t>Palm CL et al.  ·  ESC Heart Fail  ·  27.08.2026  ·  PMID 42764375</w:t>
      </w:r>
    </w:p>
    <w:p>
      <w:r>
        <w:t>Proteomic-Analyse von 478 Herzinsuffizienz-Patienten aus der BIOSTAT-CHF-Kohorte zur Assoziation von Ketokörpern mit Mortalität und zugrundeliegenden Mechanismen.</w:t>
      </w:r>
    </w:p>
    <w:p>
      <w:r>
        <w:rPr>
          <w:b/>
        </w:rPr>
        <w:t xml:space="preserve">Ergebnis: </w:t>
      </w:r>
      <w:r>
        <w:t>Jede Verdopplung von β-Hydroxybutyrat war mit 36,4% höherer Mortalität assoziiert (adjustierte HR 1,389; KI 1,150–1,677; p&lt;0,001). Pathway-Analyse zeigte Hochregulation von Entzündungs- und Katabalie-Genen; 76% der Mortalitäts-Assoziation wurde durch diese biologischen Pfade erklärt.</w:t>
      </w:r>
    </w:p>
    <w:p>
      <w:r>
        <w:rPr>
          <w:b/>
          <w:sz w:val="19"/>
        </w:rPr>
        <w:t xml:space="preserve">Übertragbarkeit: </w:t>
      </w:r>
      <w:r>
        <w:rPr>
          <w:sz w:val="19"/>
        </w:rPr>
        <w:t>Niederländische-deutsche Multinationale Kohorte, europäische Biomarker-Standards</w:t>
      </w:r>
    </w:p>
    <w:p>
      <w:r>
        <w:rPr>
          <w:color w:val="5A7D3A"/>
          <w:sz w:val="18"/>
        </w:rPr>
        <w:t>https://pubmed.ncbi.nlm.nih.gov/42764375/</w:t>
      </w:r>
    </w:p>
    <w:p>
      <w:pPr>
        <w:pStyle w:val="Heading1"/>
      </w:pPr>
      <w:r>
        <w:t>Aufgenommen am 21.09.2026</w:t>
      </w:r>
    </w:p>
    <w:p>
      <w:pPr>
        <w:pStyle w:val="Heading2"/>
      </w:pPr>
      <w:r>
        <w:t>Wearable mediane Nervenstimulation reduziert Vorhofflimmern nach Ablation</w:t>
      </w:r>
    </w:p>
    <w:p>
      <w:r>
        <w:rPr>
          <w:i/>
          <w:color w:val="666666"/>
          <w:sz w:val="18"/>
        </w:rPr>
        <w:t>Reddy VY et al.  ·  Heart Rhythm  ·  20.09.2026  ·  PMID 42764112</w:t>
      </w:r>
    </w:p>
    <w:p>
      <w:r>
        <w:t>Pilot-RCT zur kutanen medianen Nervenstimulation (MNS) mittels tragbarem Gerät zur Hemmung des autonomen Nervensystems nach Vorhofflimmer-Ablation. 77 Patienten randomisiert, 59 in modifizierter Intention-to-treat-Population ausgewertet.</w:t>
      </w:r>
    </w:p>
    <w:p>
      <w:r>
        <w:rPr>
          <w:b/>
        </w:rPr>
        <w:t xml:space="preserve">Ergebnis: </w:t>
      </w:r>
      <w:r>
        <w:t>In Monaten 2–6 post-blanking traten Vorhofflimmern/Vorhofflattern/Flattern-Ereignisse unter MNS deutlich seltener auf: 12 vs. 243 Events (Rate Ratio 17,93, 95%-KI 10,04–32,0, p&lt;0,0001). Nach Ausschluss eines Hochlast-Ausreißers: 12 vs. 28 Events (RR 2,17, 95%-KI 1,10–4,27, p=0,025). Arrhythmie-Freiheit nach 6 Monaten: 90,0% (MNS) vs. 80,8% (Sham), Hazard Ratio 2,15 (95%-KI 0,42–11,1, p=0,36). Keine ernsthafte unerwünschte Ereignisse gemeldet.</w:t>
      </w:r>
    </w:p>
    <w:p>
      <w:r>
        <w:rPr>
          <w:b/>
          <w:sz w:val="19"/>
        </w:rPr>
        <w:t xml:space="preserve">Übertragbarkeit: </w:t>
      </w:r>
      <w:r>
        <w:rPr>
          <w:sz w:val="19"/>
        </w:rPr>
        <w:t>USA-Pilotstudie, Sicherheitsdaten übertragbar; Wirksamkeit bedarf größerer RCT</w:t>
      </w:r>
    </w:p>
    <w:p>
      <w:r>
        <w:rPr>
          <w:color w:val="5A7D3A"/>
          <w:sz w:val="18"/>
        </w:rPr>
        <w:t>https://pubmed.ncbi.nlm.nih.gov/42764112/</w:t>
      </w:r>
    </w:p>
    <w:p>
      <w:pPr>
        <w:pStyle w:val="Heading2"/>
      </w:pPr>
      <w:r>
        <w:t>STAR Apollo™-Mapping lenkt Redo-Ablation für rezidivierendes Vorhofflimmern: 82,5% Sinusrhythmus nach 12 Monaten</w:t>
      </w:r>
    </w:p>
    <w:p>
      <w:r>
        <w:rPr>
          <w:i/>
          <w:color w:val="666666"/>
          <w:sz w:val="18"/>
        </w:rPr>
        <w:t>Kabra R et al.  ·  Heart Rhythm  ·  20.09.2026  ·  PMID 42764111</w:t>
      </w:r>
    </w:p>
    <w:p>
      <w:r>
        <w:t>Prospektive multizentrische Machbarkeitsstudie: STAR Apollo-System (Stochastischer Trajektorie-Analyse zum Auffinden repetitiver Muster und früher Aktivierungsstellen) bei 50 Patienten mit rezidivierendem persistentem Vorhofflimmern nach Pulmonalvenenisolation. Follow-up 12 Monate.</w:t>
      </w:r>
    </w:p>
    <w:p>
      <w:r>
        <w:rPr>
          <w:b/>
        </w:rPr>
        <w:t xml:space="preserve">Ergebnis: </w:t>
      </w:r>
      <w:r>
        <w:t>Pulmonalvenenwiederverschluss 92,0% (46/50). Sinusrhythmus ohne Kardioversion 46,0%, mit Kardioversion insgesamt 98,0%. Bei 12-Monats-Follow-up (n=40 Patienten): 33 (82,5%) im Sinusrhythmus, Symptomklasse EHRA I in 76,7%. Kaplan-Meier-Analyse (Single-Prozedur): AF-Freiheit 95,3% (6 Monate), 75,3% (12 Monate). Eine Perikarderguss-Komplikation (2,0%).</w:t>
      </w:r>
    </w:p>
    <w:p>
      <w:r>
        <w:rPr>
          <w:b/>
          <w:sz w:val="19"/>
        </w:rPr>
        <w:t xml:space="preserve">Übertragbarkeit: </w:t>
      </w:r>
      <w:r>
        <w:rPr>
          <w:sz w:val="19"/>
        </w:rPr>
        <w:t>USA-Multizenterstudie; System FDA-genehmigt; Machbarkeit und Sicherheit belegt</w:t>
      </w:r>
    </w:p>
    <w:p>
      <w:r>
        <w:rPr>
          <w:color w:val="5A7D3A"/>
          <w:sz w:val="18"/>
        </w:rPr>
        <w:t>https://pubmed.ncbi.nlm.nih.gov/42764111/</w:t>
      </w:r>
    </w:p>
    <w:p>
      <w:pPr>
        <w:pStyle w:val="Heading2"/>
      </w:pPr>
      <w:r>
        <w:t>MYBPC3-Mutationen treiben schwere linksventrikuläre Hypertrophie in pädiatrischer HCM</w:t>
      </w:r>
    </w:p>
    <w:p>
      <w:r>
        <w:rPr>
          <w:i/>
          <w:color w:val="666666"/>
          <w:sz w:val="18"/>
        </w:rPr>
        <w:t>Pahl E et al.  ·  JACC Heart Fail  ·  17.09.2026  ·  PMID 42758059</w:t>
      </w:r>
    </w:p>
    <w:p>
      <w:r>
        <w:t>Genotyp-Phänotyp-Studie aus US-Pädiatriekardiologie-Zentren: 143 Kinder mit HCM, Exom-Sequenzierung, Echokardiographie mit z-Score-Klassifikation der LV-Wanddicke (mild/moderat/schwer).</w:t>
      </w:r>
    </w:p>
    <w:p>
      <w:r>
        <w:rPr>
          <w:b/>
        </w:rPr>
        <w:t xml:space="preserve">Ergebnis: </w:t>
      </w:r>
      <w:r>
        <w:t>51% der Kinder trugen pathogene Varianten (93% sarkomisch). Schwere LVH (28%, n=40) korrelierte mit jüngeres Alter (6,4 vs. 12,9 Jahre, p=0,005) und höherer Wahrscheinlichkeit pathogener Varianten; MYBPC3-Assoziation besonders stark (OR 4,1, 95%-KI 1,7–9,9). Missense-Varianten in MYBPC3 überwogen in Schwer-Fällen gegenüber Stop/Indel/Splicing.</w:t>
      </w:r>
    </w:p>
    <w:p>
      <w:r>
        <w:rPr>
          <w:b/>
          <w:sz w:val="19"/>
        </w:rPr>
        <w:t xml:space="preserve">Übertragbarkeit: </w:t>
      </w:r>
      <w:r>
        <w:rPr>
          <w:sz w:val="19"/>
        </w:rPr>
        <w:t>USA-Register; Genotypisierung auch in Deutschland verfügbar; Kinderkardiologie strukturiert</w:t>
      </w:r>
    </w:p>
    <w:p>
      <w:r>
        <w:rPr>
          <w:color w:val="5A7D3A"/>
          <w:sz w:val="18"/>
        </w:rPr>
        <w:t>https://pubmed.ncbi.nlm.nih.gov/42758059/</w:t>
      </w:r>
    </w:p>
    <w:p>
      <w:pPr>
        <w:pStyle w:val="Heading2"/>
      </w:pPr>
      <w:r>
        <w:t>Alleinige Kulprit-Revaskularisierung bei Herzinfarkt mit Kardiogenem Schock</w:t>
      </w:r>
    </w:p>
    <w:p>
      <w:r>
        <w:rPr>
          <w:i/>
          <w:color w:val="666666"/>
          <w:sz w:val="18"/>
        </w:rPr>
        <w:t>Bogerd M et al.  ·  J Am Heart Assoc  ·  18.09.2026  ·  PMID 42757943</w:t>
      </w:r>
    </w:p>
    <w:p>
      <w:r>
        <w:t>Registerstudie aus den Niederlanden zu Revaskularisierungsstrategie (Culprit-only vs. Multivessel) bei akutem Myokardinfarkt mit kardiogenem Schock.</w:t>
      </w:r>
    </w:p>
    <w:p>
      <w:r>
        <w:rPr>
          <w:b/>
        </w:rPr>
        <w:t xml:space="preserve">Ergebnis: </w:t>
      </w:r>
      <w:r>
        <w:t>Keine statistisch signifikanten Unterschiede in Krankenhausmortalität, wiederholter Revaskularisierung oder Stentrestenose bei Culprit-only-Strategie. Daten bestätigen Sicherheit und Effizienz des Culprit-only-Ansatzes in realer Versorgungspraxis, um unnötige Koronarverletzung zu vermeiden.</w:t>
      </w:r>
    </w:p>
    <w:p>
      <w:r>
        <w:rPr>
          <w:b/>
          <w:sz w:val="19"/>
        </w:rPr>
        <w:t xml:space="preserve">Übertragbarkeit: </w:t>
      </w:r>
      <w:r>
        <w:rPr>
          <w:sz w:val="19"/>
        </w:rPr>
        <w:t>Niederlande, ähnliches Gesundheitssystem; deutsches Infarktmanagement orientiert sich an europäischen Leitlinien</w:t>
      </w:r>
    </w:p>
    <w:p>
      <w:r>
        <w:rPr>
          <w:color w:val="5A7D3A"/>
          <w:sz w:val="18"/>
        </w:rPr>
        <w:t>https://pubmed.ncbi.nlm.nih.gov/42757943/</w:t>
      </w:r>
    </w:p>
    <w:p>
      <w:pPr>
        <w:pStyle w:val="Heading2"/>
      </w:pPr>
      <w:r>
        <w:t>Krebspatienten mit Herzinfarkt erhalten gleich oft Koronarintervention wie ohne Krebs</w:t>
      </w:r>
    </w:p>
    <w:p>
      <w:r>
        <w:rPr>
          <w:i/>
          <w:color w:val="666666"/>
          <w:sz w:val="18"/>
        </w:rPr>
        <w:t>Greco A et al.  ·  Int J Cardiol  ·  17.09.2026  ·  PMID 42754098</w:t>
      </w:r>
    </w:p>
    <w:p>
      <w:r>
        <w:t>EYESHOT-2-Register: Vergleich Herzinfarkt-Management bei Patienten mit aktuellem Krebs (3,5%), früheren Krebs (4,8%) vs. ohne Krebs; 2797 Patienten in italienischen Herzkliniken.</w:t>
      </w:r>
    </w:p>
    <w:p>
      <w:r>
        <w:rPr>
          <w:b/>
        </w:rPr>
        <w:t xml:space="preserve">Ergebnis: </w:t>
      </w:r>
      <w:r>
        <w:t>PCI-Raten STEMI: 95,6% (aktiv Krebs), 97,1% (Vorgeschichte), 94,0% (kein Krebs), p=0,65. NSTEMI: 69,8%, 73,8%, 73,3%, p=0,84. Nach Adjustierung kein signifikanter Unterschied in PCI-Verzicht (STEMI p=0,42, NSTEMI p=0,78). Blutungskomplikationen in NSTEMI erhöht bei Krebs (5,7 % und 4,6% vs. 1,7%, p=0,03).</w:t>
      </w:r>
    </w:p>
    <w:p>
      <w:r>
        <w:rPr>
          <w:b/>
          <w:sz w:val="19"/>
        </w:rPr>
        <w:t xml:space="preserve">Übertragbarkeit: </w:t>
      </w:r>
      <w:r>
        <w:rPr>
          <w:sz w:val="19"/>
        </w:rPr>
        <w:t>Italien, europäisches Versicherungssystem; Datenqualität durch nationales ANMCO-Register</w:t>
      </w:r>
    </w:p>
    <w:p>
      <w:r>
        <w:rPr>
          <w:color w:val="5A7D3A"/>
          <w:sz w:val="18"/>
        </w:rPr>
        <w:t>https://pubmed.ncbi.nlm.nih.gov/42754098/</w:t>
      </w:r>
    </w:p>
    <w:p>
      <w:pPr>
        <w:pStyle w:val="Heading2"/>
      </w:pPr>
      <w:r>
        <w:t>Kolchizin senkt perioperative Herzinfarkte nach Brustkorb-OP, unabhängig von KHK-Status</w:t>
      </w:r>
    </w:p>
    <w:p>
      <w:r>
        <w:rPr>
          <w:i/>
          <w:color w:val="666666"/>
          <w:sz w:val="18"/>
        </w:rPr>
        <w:t>Razeghi G et al.  ·  Open Heart  ·  15.09.2026  ·  PMID 42744416</w:t>
      </w:r>
    </w:p>
    <w:p>
      <w:r>
        <w:t>Sekundäranalyse der COP-AF-RCT: Kolchizin 0,5 mg vs. Placebo 2×täglich für 10 Tage perioperativ bei nicht-kardialer Brustkorb-Chirurgie; Endpunkt Myokardverletzung nach nicht-kardialer Operation (MINS).</w:t>
      </w:r>
    </w:p>
    <w:p>
      <w:r>
        <w:rPr>
          <w:b/>
        </w:rPr>
        <w:t xml:space="preserve">Ergebnis: </w:t>
      </w:r>
      <w:r>
        <w:t>MINS trat bei Patienten mit KHK häufiger auf (29,3% vs. 18,2% ohne KHK, adjustiert HR 1,53, 95%-KI 1,22–1,92, p&lt;0,001). Kolchizin zeigte keinen signifikanten differenziellen Effekt nach KHK-Status (HR 0,82 vs. 0,91, p für Interaktion=0,61). Für Endpunkt Death/Stroke/MINS: aHR 1,53 (95%-KI 1,22–1,91) bei KHK.</w:t>
      </w:r>
    </w:p>
    <w:p>
      <w:r>
        <w:rPr>
          <w:b/>
          <w:sz w:val="19"/>
        </w:rPr>
        <w:t xml:space="preserve">Übertragbarkeit: </w:t>
      </w:r>
      <w:r>
        <w:rPr>
          <w:sz w:val="19"/>
        </w:rPr>
        <w:t>Multi-nationale RCT (Kanada, Europa, Asien), europäische Chirurgieleitlinien übertragbar</w:t>
      </w:r>
    </w:p>
    <w:p>
      <w:r>
        <w:rPr>
          <w:color w:val="5A7D3A"/>
          <w:sz w:val="18"/>
        </w:rPr>
        <w:t>https://pubmed.ncbi.nlm.nih.gov/42744416/</w:t>
      </w:r>
    </w:p>
    <w:p>
      <w:pPr>
        <w:pStyle w:val="Heading2"/>
      </w:pPr>
      <w:r>
        <w:t>Genotyp bestimmt Linkschenkelblock-Phänotyp und Symptomatik bei dilatativer Kardiomyopathie</w:t>
      </w:r>
    </w:p>
    <w:p>
      <w:r>
        <w:rPr>
          <w:i/>
          <w:color w:val="666666"/>
          <w:sz w:val="18"/>
        </w:rPr>
        <w:t>Fink T et al.  ·  Eur J Heart Fail  ·  04.09.2026  ·  PMID 42695499</w:t>
      </w:r>
    </w:p>
    <w:p>
      <w:r>
        <w:t>Kommentar zu Rolle genetischer Varianten bei Linkschenkelblock im Kontext genetischer Kardiomyopathien; Differenzierung zwischen genetischem Ursprung und Reizleitungsmuster.</w:t>
      </w:r>
    </w:p>
    <w:p>
      <w:r>
        <w:rPr>
          <w:b/>
        </w:rPr>
        <w:t xml:space="preserve">Ergebnis: </w:t>
      </w:r>
      <w:r>
        <w:t>Nicht alle Linkschenkelblöcke sind identisch: Genotyp bestimmt funktionelle Ausprägung; MYBPC3-Mutationen zeigen andere Phänotypen als MYH7 oder andere Gene. Implikation für CRT-Indikation und therapeutische Ansätze.</w:t>
      </w:r>
    </w:p>
    <w:p>
      <w:r>
        <w:rPr>
          <w:b/>
          <w:sz w:val="19"/>
        </w:rPr>
        <w:t xml:space="preserve">Übertragbarkeit: </w:t>
      </w:r>
      <w:r>
        <w:rPr>
          <w:sz w:val="19"/>
        </w:rPr>
        <w:t>Deutschland/Österreich, DZHK-beteilte Zentren; Genotypisierung in Spezialkliniken verfügbar</w:t>
      </w:r>
    </w:p>
    <w:p>
      <w:r>
        <w:rPr>
          <w:color w:val="5A7D3A"/>
          <w:sz w:val="18"/>
        </w:rPr>
        <w:t>https://pubmed.ncbi.nlm.nih.gov/42695499/</w:t>
      </w:r>
    </w:p>
    <w:p>
      <w:pPr>
        <w:pStyle w:val="Heading1"/>
      </w:pPr>
      <w:r>
        <w:t>Aufgenommen am 20.09.2026</w:t>
      </w:r>
    </w:p>
    <w:p>
      <w:pPr>
        <w:pStyle w:val="Heading2"/>
      </w:pPr>
      <w:r>
        <w:t>TAVI-Verzögerung &gt;6 Monate bei schwerer Aortenklappenstenose erhöht Mortalität um 3,5-fach</w:t>
      </w:r>
    </w:p>
    <w:p>
      <w:r>
        <w:rPr>
          <w:i/>
          <w:color w:val="666666"/>
          <w:sz w:val="18"/>
        </w:rPr>
        <w:t>Omuro A et al.  ·  Open Heart  ·  18.09.2026  ·  PMID 42760097</w:t>
      </w:r>
    </w:p>
    <w:p>
      <w:r>
        <w:t>Retrospektive Kohorte von 149 Patienten mit schwerer Aortenklappenstenose: Vergleich früher (&lt;6 Monate) vs. verzögerter (&gt;6 Monate) TAVI auf klinische Ergebnisse.</w:t>
      </w:r>
    </w:p>
    <w:p>
      <w:r>
        <w:rPr>
          <w:b/>
        </w:rPr>
        <w:t xml:space="preserve">Ergebnis: </w:t>
      </w:r>
      <w:r>
        <w:t>Bei medianer Nachbeobachtung von 729 Tagen traten Herzinsuffizienz-Hospitalisierung oder Sterblichkeit in der Verzögerungs-Gruppe häufiger auf (33 % vs. 16 %, p=0,013). In Cox-Regression war Verzögerung unabhängig mit dem Endpunkt assoziiert (HR 3,47; 95 % KI 1,61–7,47; p=0,0014). Höhere Clinical Frailty Scale war auch prädiktiv (HR 1,62).</w:t>
      </w:r>
    </w:p>
    <w:p>
      <w:r>
        <w:rPr>
          <w:b/>
          <w:sz w:val="19"/>
        </w:rPr>
        <w:t xml:space="preserve">Übertragbarkeit: </w:t>
      </w:r>
      <w:r>
        <w:rPr>
          <w:sz w:val="19"/>
        </w:rPr>
        <w:t>Japanische Klinikdaten; Befund zur Prognostik übertragbar, strategische Implikation abhängig von deutscher TAVI-Indikationspraxis.</w:t>
      </w:r>
    </w:p>
    <w:p>
      <w:r>
        <w:rPr>
          <w:color w:val="5A7D3A"/>
          <w:sz w:val="18"/>
        </w:rPr>
        <w:t>https://pubmed.ncbi.nlm.nih.gov/42760097/</w:t>
      </w:r>
    </w:p>
    <w:p>
      <w:pPr>
        <w:pStyle w:val="Heading2"/>
      </w:pPr>
      <w:r>
        <w:t>Vorhofflimmern-assoziierte Schlaganfälle in Norwegen steigen bei unter 65 Jahren trotz Antikoagulation</w:t>
      </w:r>
    </w:p>
    <w:p>
      <w:r>
        <w:rPr>
          <w:i/>
          <w:color w:val="666666"/>
          <w:sz w:val="18"/>
        </w:rPr>
        <w:t>Anjum M et al.  ·  J Am Heart Assoc  ·  18.09.2026  ·  PMID 42757920</w:t>
      </w:r>
    </w:p>
    <w:p>
      <w:r>
        <w:t>Norwegische Bevölkerungsstudie (AFNOR) 2001–2021 zu Trends der VF-bedingten Schlaganfallrate.</w:t>
      </w:r>
    </w:p>
    <w:p>
      <w:r>
        <w:rPr>
          <w:b/>
        </w:rPr>
        <w:t xml:space="preserve">Ergebnis: </w:t>
      </w:r>
      <w:r>
        <w:t>66.795 (29,4 %) von 227.575 Schlaganfällen waren VF-assoziiert. Gesamtinzidenz VF-ischämischer Schlaganfälle stabil (67,8 pro 100.000 2001 vs. 68,4 pro 100.000 2021; IRR 1,01), aber Anstieg bei 15–64 Jahren. 69 % aller VF-ischämischen Schlaganfälle traten bei nicht antikoagulierten Personen auf. VF-assoziierte intrakranielle Blutungen bei ≥75 Jahren nahmen zu, angetrieben durch antikoagulierte Patienten.</w:t>
      </w:r>
    </w:p>
    <w:p>
      <w:r>
        <w:rPr>
          <w:b/>
          <w:sz w:val="19"/>
        </w:rPr>
        <w:t xml:space="preserve">Übertragbarkeit: </w:t>
      </w:r>
      <w:r>
        <w:rPr>
          <w:sz w:val="19"/>
        </w:rPr>
        <w:t>Nordische Bevölkerungsregisterstudie mit ähnlicher Versorgungsstruktur und Antikoagulations-Standards.</w:t>
      </w:r>
    </w:p>
    <w:p>
      <w:r>
        <w:rPr>
          <w:color w:val="5A7D3A"/>
          <w:sz w:val="18"/>
        </w:rPr>
        <w:t>https://pubmed.ncbi.nlm.nih.gov/42757920/</w:t>
      </w:r>
    </w:p>
    <w:p>
      <w:pPr>
        <w:pStyle w:val="Heading2"/>
      </w:pPr>
      <w:r>
        <w:t>Geschlechtsunterschiede bei Androgenen und Herzinfarkt-/Schlaganfallrisiko: KORA-Studie</w:t>
      </w:r>
    </w:p>
    <w:p>
      <w:r>
        <w:rPr>
          <w:i/>
          <w:color w:val="666666"/>
          <w:sz w:val="18"/>
        </w:rPr>
        <w:t>Raeisi-Dehkordi H et al.  ·  J Am Heart Assoc  ·  18.09.2026  ·  PMID 42757908</w:t>
      </w:r>
    </w:p>
    <w:p>
      <w:r>
        <w:t>Beobachtungsstudie an 1.970 Personen in Bayern über 8,6 Jahre zur Rolle von Testosteron und SHBG als Mediatoren geschlechtsspezifischer kardiovaskulärer Risiken.</w:t>
      </w:r>
    </w:p>
    <w:p>
      <w:r>
        <w:rPr>
          <w:b/>
        </w:rPr>
        <w:t xml:space="preserve">Ergebnis: </w:t>
      </w:r>
      <w:r>
        <w:t>71 Schlaganfälle und 63 Herzinfarkte traten auf. Testosteron und Dihydrotestosteron zeigten dimorphe Mediator-Effekte auf das Schlaganfallrisiko (direkt: HR 0,42 und 0,40; indirekt: HR 2,48 und 2,90), nicht auf das Herzinfarktrisiko. Die Geschlechtsdifferenzen bei kardiovaskulären Ereignissen werden nur teilweise durch Androgene erklärt.</w:t>
      </w:r>
    </w:p>
    <w:p>
      <w:r>
        <w:rPr>
          <w:b/>
          <w:sz w:val="19"/>
        </w:rPr>
        <w:t xml:space="preserve">Übertragbarkeit: </w:t>
      </w:r>
      <w:r>
        <w:rPr>
          <w:sz w:val="19"/>
        </w:rPr>
        <w:t>Deutsche Kohortendaten KORA mit Baseline-Messungen vergleichbar zu Versorgungsdaten.</w:t>
      </w:r>
    </w:p>
    <w:p>
      <w:r>
        <w:rPr>
          <w:color w:val="5A7D3A"/>
          <w:sz w:val="18"/>
        </w:rPr>
        <w:t>https://pubmed.ncbi.nlm.nih.gov/42757908/</w:t>
      </w:r>
    </w:p>
    <w:p>
      <w:pPr>
        <w:pStyle w:val="Heading2"/>
      </w:pPr>
      <w:r>
        <w:t>GLP-1-RA und SGLT2i mit kombinierter Therapie senken Sterblichkeit nach VF-Ablation auf 40 %</w:t>
      </w:r>
    </w:p>
    <w:p>
      <w:r>
        <w:rPr>
          <w:i/>
          <w:color w:val="666666"/>
          <w:sz w:val="18"/>
        </w:rPr>
        <w:t>Ramadan A et al.  ·  Heart Rhythm  ·  17.09.2026  ·  PMID 42753998</w:t>
      </w:r>
    </w:p>
    <w:p>
      <w:r>
        <w:t>TriNetX-Datenbank 2018–2024: Vergleich von Glukagon-ähnlichem Peptid-1-Rezeptoragonist (GLP-1 RA), SGLT2-Inhibitor (SGLT2i) und Kombinationstherapie auf VF-Rezidiv und kardiovaskuläre Ergebnisse nach Katheter-Ablation.</w:t>
      </w:r>
    </w:p>
    <w:p>
      <w:r>
        <w:rPr>
          <w:b/>
        </w:rPr>
        <w:t xml:space="preserve">Ergebnis: </w:t>
      </w:r>
      <w:r>
        <w:t>Bei 1.393 Patienten pro Gruppe war VF-Rezidiv ähnlich unter GLP-1 RA vs. SGLT2i (HR 1,01; p=0,86). Kombinationstherapie vs. GLP-1 RA (n=952 je Gruppe): VF-Rezidiv ähnlich (HR 1,13), aber Gesamtsterblichkeit niedriger (HR 0,54; p=0,01). Kombinationstherapie vs. SGLT2i (n=1.213 je Gruppe): Rezidiv ähnlich (HR 1,09), Sterblichkeit reduziert (HR 0,60; p=0,02).</w:t>
      </w:r>
    </w:p>
    <w:p>
      <w:r>
        <w:rPr>
          <w:b/>
          <w:sz w:val="19"/>
        </w:rPr>
        <w:t xml:space="preserve">Übertragbarkeit: </w:t>
      </w:r>
      <w:r>
        <w:rPr>
          <w:sz w:val="19"/>
        </w:rPr>
        <w:t>USA-Datenbank TriNetX; Medikationsmuster übertragbar für Deutschland, aber VF-Ablations-Strategien unterscheiden sich regional.</w:t>
      </w:r>
    </w:p>
    <w:p>
      <w:r>
        <w:rPr>
          <w:color w:val="5A7D3A"/>
          <w:sz w:val="18"/>
        </w:rPr>
        <w:t>https://pubmed.ncbi.nlm.nih.gov/42753998/</w:t>
      </w:r>
    </w:p>
    <w:p>
      <w:pPr>
        <w:pStyle w:val="Heading2"/>
      </w:pPr>
      <w:r>
        <w:t>Persistente CRP-Erhöhung erhöht Herzinsuffizienz-Inzidenz um 34 % bei erhöhtem kardiovaskulärem Risiko</w:t>
      </w:r>
    </w:p>
    <w:p>
      <w:r>
        <w:rPr>
          <w:i/>
          <w:color w:val="666666"/>
          <w:sz w:val="18"/>
        </w:rPr>
        <w:t>Busti M et al.  ·  Int J Cardiol  ·  16.09.2026  ·  PMID 42749086</w:t>
      </w:r>
    </w:p>
    <w:p>
      <w:r>
        <w:t>Multizentrische elektronische Gesundheitsakte-Studie mit 64.743 Erwachsenen (40–80 Jahre) zu Assoziation persistenter C-reaktiver Protein-Erhöhung (CRP) mit neu aufgetretener Herzinsuffizienz über 10 Jahre.</w:t>
      </w:r>
    </w:p>
    <w:p>
      <w:r>
        <w:rPr>
          <w:b/>
        </w:rPr>
        <w:t xml:space="preserve">Ergebnis: </w:t>
      </w:r>
      <w:r>
        <w:t>Erhöhtes CRP (3,1–10,0 mg/L vs. 0,1–3,0 mg/L) assoziiert mit höherem HF-Risiko (HR 1,34; 95 % KI 1,22–1,48), Gesamtsterblichkeit (HR 1,90; KI 1,67–2,17) und Kombination (HR 1,49). Phänotyp-spezifische Analysen zeigten konsistente Assoziationen bei HFrEF (HR 1,53) und HFpEF (HR 1,44). Stärkerer Effekt bei Nicht-Adipösen.</w:t>
      </w:r>
    </w:p>
    <w:p>
      <w:r>
        <w:rPr>
          <w:b/>
          <w:sz w:val="19"/>
        </w:rPr>
        <w:t xml:space="preserve">Übertragbarkeit: </w:t>
      </w:r>
      <w:r>
        <w:rPr>
          <w:sz w:val="19"/>
        </w:rPr>
        <w:t>TriNetX-Netzwerk, Amerika und internationale Standorte; Inflammations-Biomarker-Assoziationen konzeptionell übertragbar, aber US-Datenschutz-Standards unterschiedlich.</w:t>
      </w:r>
    </w:p>
    <w:p>
      <w:r>
        <w:rPr>
          <w:color w:val="5A7D3A"/>
          <w:sz w:val="18"/>
        </w:rPr>
        <w:t>https://pubmed.ncbi.nlm.nih.gov/42749086/</w:t>
      </w:r>
    </w:p>
    <w:p>
      <w:pPr>
        <w:pStyle w:val="Heading2"/>
      </w:pPr>
      <w:r>
        <w:t>Psychiatrische Störungen nach Trauma als Herz-Kreislauf-Risiko: dänische Registerstudie</w:t>
      </w:r>
    </w:p>
    <w:p>
      <w:r>
        <w:rPr>
          <w:i/>
          <w:color w:val="666666"/>
          <w:sz w:val="18"/>
        </w:rPr>
        <w:t>Sumner JA et al.  ·  J Am Heart Assoc  ·  15.09.2026  ·  PMID 42684053</w:t>
      </w:r>
    </w:p>
    <w:p>
      <w:r>
        <w:t>Populationsbasierte Fallkontroll-Studie zu psychischen Folgeerkrankungen nach Traumaexposition und Risiko für Major Adverse Cardiac and Cerebrovascular Events (MACCE).</w:t>
      </w:r>
    </w:p>
    <w:p>
      <w:r>
        <w:rPr>
          <w:b/>
        </w:rPr>
        <w:t xml:space="preserve">Ergebnis: </w:t>
      </w:r>
      <w:r>
        <w:t>Unter 43.994 MACCE-Fällen war Alkoholverwandtschaftsstörung der stärkste psychiatrische Prädiktor, gefolgt von depressiven Störungen und PTSD. In maschinellen Lernmodellen zeigte das Modell mittlere Diskriminationsfähigkeit (Konkordanzindex 0,65). Depressionen waren bei Frauen stärker assoziiert als bei Männern. Suchtstörungen über alle Geschlechter signifikant mit erhöhtem MACCE-Risiko verbunden.</w:t>
      </w:r>
    </w:p>
    <w:p>
      <w:r>
        <w:rPr>
          <w:b/>
          <w:sz w:val="19"/>
        </w:rPr>
        <w:t xml:space="preserve">Übertragbarkeit: </w:t>
      </w:r>
      <w:r>
        <w:rPr>
          <w:sz w:val="19"/>
        </w:rPr>
        <w:t>Dänisches Universalregister 1995–2021, ähnliches Gesundheitssystem wie Deutschland.</w:t>
      </w:r>
    </w:p>
    <w:p>
      <w:r>
        <w:rPr>
          <w:color w:val="5A7D3A"/>
          <w:sz w:val="18"/>
        </w:rPr>
        <w:t>https://pubmed.ncbi.nlm.nih.gov/42684053/</w:t>
      </w:r>
    </w:p>
    <w:p>
      <w:pPr>
        <w:pStyle w:val="Heading1"/>
      </w:pPr>
      <w:r>
        <w:t>Aufgenommen am 19.09.2026</w:t>
      </w:r>
    </w:p>
    <w:p>
      <w:pPr>
        <w:pStyle w:val="Heading2"/>
      </w:pPr>
      <w:r>
        <w:t>Epicardiales Fett bei Vorhofflimmern: Biomarker für Rezidivrisiko</w:t>
      </w:r>
    </w:p>
    <w:p>
      <w:r>
        <w:rPr>
          <w:i/>
          <w:color w:val="666666"/>
          <w:sz w:val="18"/>
        </w:rPr>
        <w:t>Erhard N et al.  ·  Heart Rhythm  ·  18.09.2026  ·  PMID 42759859</w:t>
      </w:r>
    </w:p>
    <w:p>
      <w:r>
        <w:t>Die Studie quantifizierte mit Photon-Counting-CT das epikardiale Fettgewebe beider Vorhöfe vor Ablation bei 210 Patienten mit paroxysmaler und persistierender AF und verfolgte die Arrhythmie-Freiheit nach 12 Monaten.</w:t>
      </w:r>
    </w:p>
    <w:p>
      <w:r>
        <w:rPr>
          <w:b/>
        </w:rPr>
        <w:t xml:space="preserve">Ergebnis: </w:t>
      </w:r>
      <w:r>
        <w:t>Im linken Vorhof korrelierte ein höheres epikardiales Fettvolumen mit Rezidiven bei persistierender AF (HR 1,51 pro 10 mL Zunahme; 95%-KI 1,06–2,15), nicht jedoch bei paroxysmaler AF (HR 0,79; p für Interaktion = 0,014). Die Arrhythmie-Freiheit betrug 81,9 % bei paroxysmaler und 57,3 % bei persistierender AF (p = 0,005). Diese Biomarker-Stratifikation könnte zukünftig die Patientenauswahl und Nachsorge lenken.</w:t>
      </w:r>
    </w:p>
    <w:p>
      <w:r>
        <w:rPr>
          <w:b/>
          <w:sz w:val="19"/>
        </w:rPr>
        <w:t xml:space="preserve">Übertragbarkeit: </w:t>
      </w:r>
      <w:r>
        <w:rPr>
          <w:sz w:val="19"/>
        </w:rPr>
        <w:t>Deutsches Zentrum für Herz-Kreislauf-Forschung, prospektive klinische Studie mit standardisierter CT-Bildgebung</w:t>
      </w:r>
    </w:p>
    <w:p>
      <w:r>
        <w:rPr>
          <w:color w:val="5A7D3A"/>
          <w:sz w:val="18"/>
        </w:rPr>
        <w:t>https://pubmed.ncbi.nlm.nih.gov/42759859/</w:t>
      </w:r>
    </w:p>
    <w:p>
      <w:pPr>
        <w:pStyle w:val="Heading2"/>
      </w:pPr>
      <w:r>
        <w:t>Neutrophil-Lymphozyten-Verhältnis bei Herzinsuffizienz: SGLT2-Hemmer wirken unabhängig davon</w:t>
      </w:r>
    </w:p>
    <w:p>
      <w:r>
        <w:rPr>
          <w:i/>
          <w:color w:val="666666"/>
          <w:sz w:val="18"/>
        </w:rPr>
        <w:t>Pellicori P et al.  ·  ESC Heart Fail  ·  18.09.2026  ·  PMID 42759496</w:t>
      </w:r>
    </w:p>
    <w:p>
      <w:r>
        <w:t>Post-hoc-Analyse der EMPEROR-Pooled-Datenbank (9.706 Patienten mit CHF) untersuchte das Neutrophil-Lymphozyten-Verhältnis (NLR) als Marker für Inflammation und Stauung und die Effektivität von Empagliflozin nach Quintilen.</w:t>
      </w:r>
    </w:p>
    <w:p>
      <w:r>
        <w:rPr>
          <w:b/>
        </w:rPr>
        <w:t xml:space="preserve">Ergebnis: </w:t>
      </w:r>
      <w:r>
        <w:t>Höchstes NLR-Quintil (vs. niedrigstes) zeigte 27,3 % vs. 14,9 % Primärereignisse (HF-Hospitalisierung oder kardiovaskulärer Tod; adjustierte HR 1,44; 95%-KI 1,16–1,80; p = 0,001). Empagliflozin reduzierte die Primärendpunkte konsistent über alle NLR-Gruppen hinweg, und der Wirkmechanismus war vom NLR-Ausgangswert unabhängig.</w:t>
      </w:r>
    </w:p>
    <w:p>
      <w:r>
        <w:rPr>
          <w:b/>
          <w:sz w:val="19"/>
        </w:rPr>
        <w:t xml:space="preserve">Übertragbarkeit: </w:t>
      </w:r>
      <w:r>
        <w:rPr>
          <w:sz w:val="19"/>
        </w:rPr>
        <w:t>Multinationale Studie, europäische SGLT2i-Leitlinien-Therapie, stratifizierte Effektivität relevant</w:t>
      </w:r>
    </w:p>
    <w:p>
      <w:r>
        <w:rPr>
          <w:color w:val="5A7D3A"/>
          <w:sz w:val="18"/>
        </w:rPr>
        <w:t>https://pubmed.ncbi.nlm.nih.gov/42759496/</w:t>
      </w:r>
    </w:p>
    <w:p>
      <w:pPr>
        <w:pStyle w:val="Heading2"/>
      </w:pPr>
      <w:r>
        <w:t>Frührhythmuskontrollen bei Vorhofflimmern und Krebsgeschichte: EAST-AFNET-4-Subgruppe</w:t>
      </w:r>
    </w:p>
    <w:p>
      <w:r>
        <w:rPr>
          <w:i/>
          <w:color w:val="666666"/>
          <w:sz w:val="18"/>
        </w:rPr>
        <w:t>Ismaili D et al.  ·  Europace  ·  18.09.2026  ·  PMID 42758310</w:t>
      </w:r>
    </w:p>
    <w:p>
      <w:r>
        <w:t>Sekundäranalyse der EAST-AFNET-4-Studie verglich 216 Patienten mit Krebsgeschichte (7,8 %) gegen 2.563 ohne Krebs bezüglich Nutzen und Sicherheit einer frühen Rhythmuskontrolle.</w:t>
      </w:r>
    </w:p>
    <w:p>
      <w:r>
        <w:rPr>
          <w:b/>
        </w:rPr>
        <w:t xml:space="preserve">Ergebnis: </w:t>
      </w:r>
      <w:r>
        <w:t>Frühe Rhythmuskontrolle reduzierte die Primärendpunkte (kardiovaskulärer Tod, Schlaganfall, HF- oder Herzinfarkt-Hospitalisierung) unabhängig von Krebsgeschichte (p Interaktion = 0,23), mit 84,9 % vs. 81,8 % Sinusrhythmus nach 24 Monaten. Ein Signal für mehr Sicherheitsereignisse unter Rhythmuskontrolle bei Krebspatienten (31 % vs. 20 %; p Interaktion = 0,055) warnt vor zusätzlichen Schäden in dieser Subgruppe.</w:t>
      </w:r>
    </w:p>
    <w:p>
      <w:r>
        <w:rPr>
          <w:b/>
          <w:sz w:val="19"/>
        </w:rPr>
        <w:t xml:space="preserve">Übertragbarkeit: </w:t>
      </w:r>
      <w:r>
        <w:rPr>
          <w:sz w:val="19"/>
        </w:rPr>
        <w:t>EAST-AFNET-4: multinationales europäisches Netzwerk, deutsche Leitzentren, richtlinienstabilisierend</w:t>
      </w:r>
    </w:p>
    <w:p>
      <w:r>
        <w:rPr>
          <w:color w:val="5A7D3A"/>
          <w:sz w:val="18"/>
        </w:rPr>
        <w:t>https://pubmed.ncbi.nlm.nih.gov/42758310/</w:t>
      </w:r>
    </w:p>
    <w:p>
      <w:pPr>
        <w:pStyle w:val="Heading2"/>
      </w:pPr>
      <w:r>
        <w:t>Vorhofflimmern-Screening: Intensiveres Monitoring findet mehr Fälle, besonders bei älteren Patienten</w:t>
      </w:r>
    </w:p>
    <w:p>
      <w:r>
        <w:rPr>
          <w:i/>
          <w:color w:val="666666"/>
          <w:sz w:val="18"/>
        </w:rPr>
        <w:t>Xing LY et al.  ·  Europace  ·  18.09.2026  ·  PMID 42758309</w:t>
      </w:r>
    </w:p>
    <w:p>
      <w:r>
        <w:t>Individual-Participant-Data-Metaanalyse von 34.165 gescreenten Personen (AFFECT-EU/AF-SCREEN) verglich die Detektionsquote nach Screening-Methode und Patientenmerkmalen.</w:t>
      </w:r>
    </w:p>
    <w:p>
      <w:r>
        <w:rPr>
          <w:b/>
        </w:rPr>
        <w:t xml:space="preserve">Ergebnis: </w:t>
      </w:r>
      <w:r>
        <w:t>Die Diagnose-Quote stieg mit Screening-Intensität: Einzelnes Zeitfenster 0,83 %, intermittierendes Monitoring 5,06 %, kurzfristiges Monitoring ≤30 Tage 4,81 %, langfristiges &gt;30 Tage 30,39 %. Hohes Alter, männliches Geschlecht, Hypertonie und Herzinsuffizienz waren unabhängig mit AF-Detektion assoziiert; diese Faktoren beeinflussten das Screening-Ergebnis am meisten bei Einzelzeitpunkt-Screening.</w:t>
      </w:r>
    </w:p>
    <w:p>
      <w:r>
        <w:rPr>
          <w:b/>
          <w:sz w:val="19"/>
        </w:rPr>
        <w:t xml:space="preserve">Übertragbarkeit: </w:t>
      </w:r>
      <w:r>
        <w:rPr>
          <w:sz w:val="19"/>
        </w:rPr>
        <w:t>Europäische und nordamerikanische Kohorten, vergleichbar mit deutschen Screening-Programmen</w:t>
      </w:r>
    </w:p>
    <w:p>
      <w:r>
        <w:rPr>
          <w:color w:val="5A7D3A"/>
          <w:sz w:val="18"/>
        </w:rPr>
        <w:t>https://pubmed.ncbi.nlm.nih.gov/42758309/</w:t>
      </w:r>
    </w:p>
    <w:p>
      <w:pPr>
        <w:pStyle w:val="Heading2"/>
      </w:pPr>
      <w:r>
        <w:t>Herzinsuffizienz-Hospitalisierung: Mortalität 30 Tage relativ stabil, aber Ungleichheiten wachsen</w:t>
      </w:r>
    </w:p>
    <w:p>
      <w:r>
        <w:rPr>
          <w:i/>
          <w:color w:val="666666"/>
          <w:sz w:val="18"/>
        </w:rPr>
        <w:t>Usman MS et al.  ·  JACC Heart Fail  ·  16.09.2026  ·  PMID 42758064</w:t>
      </w:r>
    </w:p>
    <w:p>
      <w:r>
        <w:t>Retrospektive Kohortenstudie (Medicare 2016–2022, 4.957.054 HF-Hospitalisierungen) analysierte Trends in 30-Tages-Mortalität, Wiederaufnahme und Tage zu Hause (alive and out-of-facility).</w:t>
      </w:r>
    </w:p>
    <w:p>
      <w:r>
        <w:rPr>
          <w:b/>
        </w:rPr>
        <w:t xml:space="preserve">Ergebnis: </w:t>
      </w:r>
      <w:r>
        <w:t>30-Tages-Mortalität sank vor der Pandemie (9,01 % auf 8,38 %), stieg 2020 (9,13 %) und fiel wieder 2022 (8,49 %). Männer hatten höhere Mortalität als Frauen; Weiße höher als Schwarze. Medicare-FFS-Beneficiäre hatten konsistent höhere Mortalität als Medicare Advantage (Lücke wuchs über Zeit). Wiederaufnahmequoten sanken prä-pandemisch, platauten 2020 und sanken wieder post-pandemisch (aRR 2022 vs. 2020: 0,96).</w:t>
      </w:r>
    </w:p>
    <w:p>
      <w:r>
        <w:rPr>
          <w:b/>
          <w:sz w:val="19"/>
        </w:rPr>
        <w:t xml:space="preserve">Übertragbarkeit: </w:t>
      </w:r>
      <w:r>
        <w:rPr>
          <w:sz w:val="19"/>
        </w:rPr>
        <w:t>USA-Medicare-System, nicht 1:1 übertragbar; aber Versorgungsungleichheiten relevant für deutsche DMP-Strukturen</w:t>
      </w:r>
    </w:p>
    <w:p>
      <w:r>
        <w:rPr>
          <w:color w:val="5A7D3A"/>
          <w:sz w:val="18"/>
        </w:rPr>
        <w:t>https://pubmed.ncbi.nlm.nih.gov/42758064/</w:t>
      </w:r>
    </w:p>
    <w:p>
      <w:pPr>
        <w:pStyle w:val="Heading2"/>
      </w:pPr>
      <w:r>
        <w:t>Chronische Herzinsuffizienz und LVAD: beeinträchtigte Hirnfunktion und neuronal-ischämische Marker</w:t>
      </w:r>
    </w:p>
    <w:p>
      <w:r>
        <w:rPr>
          <w:i/>
          <w:color w:val="666666"/>
          <w:sz w:val="18"/>
        </w:rPr>
        <w:t>Jungclaus MS et al.  ·  J Am Heart Assoc  ·  18.09.2026  ·  PMID 42757935</w:t>
      </w:r>
    </w:p>
    <w:p>
      <w:r>
        <w:t>Querschnittsstudie an 19 LVAD- und 13 Patienten mit fortgeschrittener CHF verglich kognitive Leistung, blutbasierte Neuronen-Biomarker (NfL, pTau181, GFAP) und Gehirn-PET-Metabolismus.</w:t>
      </w:r>
    </w:p>
    <w:p>
      <w:r>
        <w:rPr>
          <w:b/>
        </w:rPr>
        <w:t xml:space="preserve">Ergebnis: </w:t>
      </w:r>
      <w:r>
        <w:t>69 % aller Patienten zeigten kognitive Dysfunktion; Biomarker waren in beiden Gruppen erhöht (medianes NfL 45,7 pg/mL, pTau181 23,1 pg/mL, GFAP 191,3 pg/mL). LVAD-Patienten wiesen mehr Hypometabolismus-Volumen auf (1,03 mL vs. 0 mL bei CHF; p = 0,003). Dieser Multi-Modal-Befund deutet auf potenziell reversible zerebrovaskuläre Komplikationen hin, die bei LVAD-Patienten zu monitoren sind.</w:t>
      </w:r>
    </w:p>
    <w:p>
      <w:r>
        <w:rPr>
          <w:b/>
          <w:sz w:val="19"/>
        </w:rPr>
        <w:t xml:space="preserve">Übertragbarkeit: </w:t>
      </w:r>
      <w:r>
        <w:rPr>
          <w:sz w:val="19"/>
        </w:rPr>
        <w:t>Deutsche Spezialkliniken erfassen ähnliche Komplikationen, Grundlage für strukturierte Überwachung</w:t>
      </w:r>
    </w:p>
    <w:p>
      <w:r>
        <w:rPr>
          <w:color w:val="5A7D3A"/>
          <w:sz w:val="18"/>
        </w:rPr>
        <w:t>https://pubmed.ncbi.nlm.nih.gov/42757935/</w:t>
      </w:r>
    </w:p>
    <w:p>
      <w:pPr>
        <w:pStyle w:val="Heading1"/>
      </w:pPr>
      <w:r>
        <w:t>Aufgenommen am 18.09.2026</w:t>
      </w:r>
    </w:p>
    <w:p>
      <w:pPr>
        <w:pStyle w:val="Heading2"/>
      </w:pPr>
      <w:r>
        <w:t>Linksatriale Dehnung zeigt NT-proBNP-Belastung bei fettleibigen HFpEF-Patienten an</w:t>
      </w:r>
    </w:p>
    <w:p>
      <w:r>
        <w:rPr>
          <w:i/>
          <w:color w:val="666666"/>
          <w:sz w:val="18"/>
        </w:rPr>
        <w:t>Mandoli GE et al.  ·  Int J Cardiol  ·  17.09.2026  ·  PMID 42754101</w:t>
      </w:r>
    </w:p>
    <w:p>
      <w:r>
        <w:t>Einzenter-Retrospektivstudie mit 118 adipösen Patienten (BMI ≥ 30 kg/m²) mit HFpEF untersuchte, ob globales Peak Atrial Longitudinal Strain (PALS) mit NT-proBNP und 6-Minuten-Gehtest assoziiert ist.</w:t>
      </w:r>
    </w:p>
    <w:p>
      <w:r>
        <w:rPr>
          <w:b/>
        </w:rPr>
        <w:t xml:space="preserve">Ergebnis: </w:t>
      </w:r>
      <w:r>
        <w:t>Medianes globales PALS war 23,0 % [17,3-30,8], E/e'-Ratio 10 [8-13]. Globales PALS war unabhängig und invers mit ln(NT-proBNP) assoziiert (β = -0,045; 95%-KI -0,070 bis -0,019; p &lt; 0,001). Atriale Steifheit war unabhängig mit ln(NT-proBNP) (β = 0,27; p = 0,014) und 6MWT (β = -9,3; p = 0,046) assoziiert. LA-Dehnung und Steifheit liefern komplementäre Informationen zur hämodynamischen Last bei adipösen HFpEF-Patienten.</w:t>
      </w:r>
    </w:p>
    <w:p>
      <w:r>
        <w:rPr>
          <w:b/>
          <w:sz w:val="19"/>
        </w:rPr>
        <w:t xml:space="preserve">Übertragbarkeit: </w:t>
      </w:r>
      <w:r>
        <w:rPr>
          <w:sz w:val="19"/>
        </w:rPr>
        <w:t>Italienische Universitätsklinik, Echokardiographie-Parameter für HFpEF-Phenotypisierung in Deutschland etabliert.</w:t>
      </w:r>
    </w:p>
    <w:p>
      <w:r>
        <w:rPr>
          <w:color w:val="5A7D3A"/>
          <w:sz w:val="18"/>
        </w:rPr>
        <w:t>https://pubmed.ncbi.nlm.nih.gov/42754101/</w:t>
      </w:r>
    </w:p>
    <w:p>
      <w:pPr>
        <w:pStyle w:val="Heading2"/>
      </w:pPr>
      <w:r>
        <w:t>RAISE-Score validiert Transthyretin-Amyloidose bei schwerer Aortenstenose im Katheterlabor nur mäßig</w:t>
      </w:r>
    </w:p>
    <w:p>
      <w:r>
        <w:rPr>
          <w:i/>
          <w:color w:val="666666"/>
          <w:sz w:val="18"/>
        </w:rPr>
        <w:t>Guerra ÁR et al.  ·  Int J Cardiol  ·  17.09.2026  ·  PMID 42754100</w:t>
      </w:r>
    </w:p>
    <w:p>
      <w:r>
        <w:t>Prospektive externe Validierung des RAISE-Scores zur Diagnose transthyretin-assoziierter kardialer Amyloidose (ATTR-CA) bei 340 Patienten mit schwerer AS zur TAVI.</w:t>
      </w:r>
    </w:p>
    <w:p>
      <w:r>
        <w:rPr>
          <w:b/>
        </w:rPr>
        <w:t xml:space="preserve">Ergebnis: </w:t>
      </w:r>
      <w:r>
        <w:t>ATTR-CA lag bei 4,1 % (14 Fälle) vor. ATTR-CA-Patienten waren älter (83,5 ± 6,7 vs. 79,1 ± 6,1 Jahre), zeigten mehr Pseudo-Infarkt-Muster (50 % vs. 10,3 %), niedrigere LVEF (50,1 ± 16,1 % vs. 62,4 ± 14,1 %) und schlechtere globale longitudinale Dehnung (-11,4 ± 5,8 vs. -18,3 ± 5,2). RAISE-Score ≥ 2 assoziierte mit höherer ATTR-CA-Prävalenz (7,2 % vs. 2,3 %; p = 0,044); AUC war 0,69 (p = 0,016). Der Score zeigt moderate Diskriminationsfähigkeit, deutlich niedriger als ursprünglich berichtet.</w:t>
      </w:r>
    </w:p>
    <w:p>
      <w:r>
        <w:rPr>
          <w:b/>
          <w:sz w:val="19"/>
        </w:rPr>
        <w:t xml:space="preserve">Übertragbarkeit: </w:t>
      </w:r>
      <w:r>
        <w:rPr>
          <w:sz w:val="19"/>
        </w:rPr>
        <w:t>Spanische prospektive Validierungsstudie, Erkenntnisse zum ATTR-CA-Screening bei AS in Europa relevant.</w:t>
      </w:r>
    </w:p>
    <w:p>
      <w:r>
        <w:rPr>
          <w:color w:val="5A7D3A"/>
          <w:sz w:val="18"/>
        </w:rPr>
        <w:t>https://pubmed.ncbi.nlm.nih.gov/42754100/</w:t>
      </w:r>
    </w:p>
    <w:p>
      <w:pPr>
        <w:pStyle w:val="Heading2"/>
      </w:pPr>
      <w:r>
        <w:t>Enge Kopplungsintervalle in ventrikulären Salven präsagen plötzlichen Herztod bei Hypertrophischer Kardiomyopathie</w:t>
      </w:r>
    </w:p>
    <w:p>
      <w:r>
        <w:rPr>
          <w:i/>
          <w:color w:val="666666"/>
          <w:sz w:val="18"/>
        </w:rPr>
        <w:t>Zhang Y et al.  ·  Europace  ·  02.09.2026  ·  PMID 42749293</w:t>
      </w:r>
    </w:p>
    <w:p>
      <w:r>
        <w:t>Retrospektive Multizenterstudie mit 2.625 HCM-Patienten untersuchte, ob Charakteristika von nicht-anhaltenden ventrikulären Tachykardien (NSVT) das Plötzlichen-Tod-Risiko stratifizieren.</w:t>
      </w:r>
    </w:p>
    <w:p>
      <w:r>
        <w:rPr>
          <w:b/>
        </w:rPr>
        <w:t xml:space="preserve">Ergebnis: </w:t>
      </w:r>
      <w:r>
        <w:t>In 320 Patienten (12,4 %) traten NSVT auf. Das zweite Kopplungsintervall war stärkster Prädiktor (optimaler Cut-off 394 ms). Ein Intervall &lt; 394 ms erhöhte das SCD-Risiko stark (HR 8,36; 95%-KI 4,33-16,12; p &lt; 0,001) gegenüber Abwesenheit von NSVT, während ≥ 394 ms nicht prognostisch war. Differenzierte NSVT-Analyse verbesserte SCD-Risikoalgorithmen und könnte ICD-Implantation-Entscheidungen optimieren.</w:t>
      </w:r>
    </w:p>
    <w:p>
      <w:r>
        <w:rPr>
          <w:b/>
          <w:sz w:val="19"/>
        </w:rPr>
        <w:t xml:space="preserve">Übertragbarkeit: </w:t>
      </w:r>
      <w:r>
        <w:rPr>
          <w:sz w:val="19"/>
        </w:rPr>
        <w:t>Chinesische Multizenterstudie, etablierte Erkenntnisse zur HCM-Risikostratifizierung bestätigt.</w:t>
      </w:r>
    </w:p>
    <w:p>
      <w:r>
        <w:rPr>
          <w:color w:val="5A7D3A"/>
          <w:sz w:val="18"/>
        </w:rPr>
        <w:t>https://pubmed.ncbi.nlm.nih.gov/42749293/</w:t>
      </w:r>
    </w:p>
    <w:p>
      <w:pPr>
        <w:pStyle w:val="Heading2"/>
      </w:pPr>
      <w:r>
        <w:t>Nodales Hub-Spoke-System reduziert Kardiogener-Schock-Mortalität durch Zentralisierung und Versorgungskoordination</w:t>
      </w:r>
    </w:p>
    <w:p>
      <w:r>
        <w:rPr>
          <w:i/>
          <w:color w:val="666666"/>
          <w:sz w:val="18"/>
        </w:rPr>
        <w:t>Samsky MD et al.  ·  Circ Heart Fail  ·  15.09.2026  ·  PMID 42743341</w:t>
      </w:r>
    </w:p>
    <w:p>
      <w:r>
        <w:t>Ein Expertenkonsensus-Artikel der American Heart Association fordert ein knotenpunktbasiertes regionales Versorgungssystem für kardiogenen Schock mit gestaffelten Hospitalsebenen, standardisierten Protokollen und strukturierter Verlegung.</w:t>
      </w:r>
    </w:p>
    <w:p>
      <w:r>
        <w:rPr>
          <w:b/>
        </w:rPr>
        <w:t xml:space="preserve">Ergebnis: </w:t>
      </w:r>
      <w:r>
        <w:t>Beobachtungsdaten deuten auf Assoziation zwischen strukturierter multidisziplinärer Versorgung, regionalen Netzwerken und konsistenterer Leistungserbringung hin; randomisierte Kausalbeweise fehlen noch. Ein für alle Ursachen und Schweregrade ausgelegtes nationales Registersystem wird empfohlen. Das System sollte Transport nach Schock-Phänotyp und Zielstrategie steuern, nicht nach Geografie; Erfolg sollte Timing, Outcomes und Chancengleichheit umfassen.</w:t>
      </w:r>
    </w:p>
    <w:p>
      <w:r>
        <w:rPr>
          <w:b/>
          <w:sz w:val="19"/>
        </w:rPr>
        <w:t xml:space="preserve">Übertragbarkeit: </w:t>
      </w:r>
      <w:r>
        <w:rPr>
          <w:sz w:val="19"/>
        </w:rPr>
        <w:t>USA-Konsensus für kardiale Versorgungsstrukturierung; Konzept der Zentralisierung und Netzwerkbildung auf deutsches DRG-System mit Herzzentren übertragbar.</w:t>
      </w:r>
    </w:p>
    <w:p>
      <w:r>
        <w:rPr>
          <w:color w:val="5A7D3A"/>
          <w:sz w:val="18"/>
        </w:rPr>
        <w:t>https://pubmed.ncbi.nlm.nih.gov/42743341/</w:t>
      </w:r>
    </w:p>
    <w:p>
      <w:pPr>
        <w:pStyle w:val="Heading2"/>
      </w:pPr>
      <w:r>
        <w:t>Diabetes erhöht Reinfarkt- und kardiales Scheitern nach PCI, OCT hilft nicht</w:t>
      </w:r>
    </w:p>
    <w:p>
      <w:r>
        <w:rPr>
          <w:i/>
          <w:color w:val="666666"/>
          <w:sz w:val="18"/>
        </w:rPr>
        <w:t>Gaede L et al.  ·  JACC Cardiovasc Interv  ·  14.09.2026  ·  PMID 42735969</w:t>
      </w:r>
    </w:p>
    <w:p>
      <w:r>
        <w:t>Die ILUMIEN-IV-Studie untersuchte, ob optische Kohärenztomographie (OCT) gegenüber Angiographie die Outcome-Raten bei 2.487 PCI-Patienten mit und ohne Diabetes über 2 Jahre verbessert.</w:t>
      </w:r>
    </w:p>
    <w:p>
      <w:r>
        <w:rPr>
          <w:b/>
        </w:rPr>
        <w:t xml:space="preserve">Ergebnis: </w:t>
      </w:r>
      <w:r>
        <w:t>Patienten mit Diabetes hatten höhere Target-Vessel-Failure-Raten (9,9 % vs. 6,3 %; adjustierte HR 1,48; p = 0,01) und schwerwiegende MACE (5,3 % vs. 2,7 %; adjustierte HR 1,77; p = 0,01) als Nicht-Diabetiker; OCT-Führung reduzierte weder TVF noch MACE in beiden Gruppen (p = 0,41 bzw. 0,20). Diabetes bleibt ein starker Prädiktor für Komplikationen nach PCI, unabhängig von Bildgebungstechnik.</w:t>
      </w:r>
    </w:p>
    <w:p>
      <w:r>
        <w:rPr>
          <w:b/>
          <w:sz w:val="19"/>
        </w:rPr>
        <w:t xml:space="preserve">Übertragbarkeit: </w:t>
      </w:r>
      <w:r>
        <w:rPr>
          <w:sz w:val="19"/>
        </w:rPr>
        <w:t>Multizentrische Studie mit europäischen Zentren, Ergebnisse auf DMP-KHK-Patienten übertragbar.</w:t>
      </w:r>
    </w:p>
    <w:p>
      <w:r>
        <w:rPr>
          <w:color w:val="5A7D3A"/>
          <w:sz w:val="18"/>
        </w:rPr>
        <w:t>https://pubmed.ncbi.nlm.nih.gov/42735969/</w:t>
      </w:r>
    </w:p>
    <w:p>
      <w:pPr>
        <w:pStyle w:val="Heading2"/>
      </w:pPr>
      <w:r>
        <w:t>Hochsensitives Troponin T übertrifft NT-proBNP bei Prädiktion der Sterblichkeit nach nicht-kardialem Eingriff</w:t>
      </w:r>
    </w:p>
    <w:p>
      <w:r>
        <w:rPr>
          <w:i/>
          <w:color w:val="666666"/>
          <w:sz w:val="18"/>
        </w:rPr>
        <w:t>Kirkopoulos A et al.  ·  J Am Heart Assoc  ·  15.09.2026  ·  PMID 42714475</w:t>
      </w:r>
    </w:p>
    <w:p>
      <w:r>
        <w:t>Sekundäranalyse der METREPAIR- und MINSS-Studien verglich die Vorhersageleistung von Hochsensitiv-Troponin T (hs-TnT) und NT-proBNP für 30-Tage-MACE und Mortalität nach Elektiveingriff ohne Herzerkrankung bei 2.251 Hochrisikopatienten.</w:t>
      </w:r>
    </w:p>
    <w:p>
      <w:r>
        <w:rPr>
          <w:b/>
        </w:rPr>
        <w:t xml:space="preserve">Ergebnis: </w:t>
      </w:r>
      <w:r>
        <w:t>MACE trat bei 5,8 % und Mortalität bei 1,6 % auf. Nur hs-TnT verbesserte die Diskrimination für Mortalität (AUC 0,680 vs. 0,674; Δ = 0,006; p = 0,047); praktischer Nutzen beider Biomarker über RCRI und Alter war limitiert. hs-TnT war NT-proBNP marginal überlegen.</w:t>
      </w:r>
    </w:p>
    <w:p>
      <w:r>
        <w:rPr>
          <w:b/>
          <w:sz w:val="19"/>
        </w:rPr>
        <w:t xml:space="preserve">Übertragbarkeit: </w:t>
      </w:r>
      <w:r>
        <w:rPr>
          <w:sz w:val="19"/>
        </w:rPr>
        <w:t>Europäische prospektive Multizenterstudie (Schweiz, Niederlande, Skandinavien), direkt auf deutsches Perioperativ-Management übertragbar.</w:t>
      </w:r>
    </w:p>
    <w:p>
      <w:r>
        <w:rPr>
          <w:color w:val="5A7D3A"/>
          <w:sz w:val="18"/>
        </w:rPr>
        <w:t>https://pubmed.ncbi.nlm.nih.gov/42714475/</w:t>
      </w:r>
    </w:p>
    <w:p>
      <w:pPr>
        <w:pStyle w:val="Heading1"/>
      </w:pPr>
      <w:r>
        <w:t>Aufgenommen am 17.09.2026</w:t>
      </w:r>
    </w:p>
    <w:p>
      <w:pPr>
        <w:pStyle w:val="Heading2"/>
      </w:pPr>
      <w:r>
        <w:t>Geh-Tempo ist stärkster Marker für Prognose nach Herzinfarkt in kardialer Rehabilitation älterer Patienten</w:t>
      </w:r>
    </w:p>
    <w:p>
      <w:r>
        <w:rPr>
          <w:i/>
          <w:color w:val="666666"/>
          <w:sz w:val="18"/>
        </w:rPr>
        <w:t>Raisi A et al.  ·  Eur J Prev Cardiol  ·  16.09.2026  ·  PMID 42748164</w:t>
      </w:r>
    </w:p>
    <w:p>
      <w:r>
        <w:t>Prespecified Subanalyse der PIpELINe-Studie an 512 Patienten ≥65 Jahre mit Herzinfarkt (mittlerer SPPB-Score 4–9): Multidomain-Rehabilitation versus Standardversorgung mit 1-Jahres-Nachsorge.</w:t>
      </w:r>
    </w:p>
    <w:p>
      <w:r>
        <w:rPr>
          <w:b/>
        </w:rPr>
        <w:t xml:space="preserve">Ergebnis: </w:t>
      </w:r>
      <w:r>
        <w:t>Primärer Endpunkt (kardiovaskulärer Tod/ungeplante kardiovaskuläre Hospitalisierung) bei niedrigerem SPPB signifikant häufiger (HR 0,51; 95%-KI 0,32–0,82). Gehgeschwindigkeit einzeln war stärkster Marker: 50 % Risikoreduktion pro 1-Punkt-Verbesserung (HR 0,50; 95%-KI 0,37–0,68; p&lt;0,001). Multidomain-Rehabilitation zeigte konsistenten Nutzen unabhängig von SPPB-Level.</w:t>
      </w:r>
    </w:p>
    <w:p>
      <w:r>
        <w:rPr>
          <w:b/>
          <w:sz w:val="19"/>
        </w:rPr>
        <w:t xml:space="preserve">Übertragbarkeit: </w:t>
      </w:r>
      <w:r>
        <w:rPr>
          <w:sz w:val="19"/>
        </w:rPr>
        <w:t>Italienisch-deutsche Versorgungsstudie; einfaches Screening-Tool für Rehabilitation in Deutschland anwendbar.</w:t>
      </w:r>
    </w:p>
    <w:p>
      <w:r>
        <w:rPr>
          <w:color w:val="5A7D3A"/>
          <w:sz w:val="18"/>
        </w:rPr>
        <w:t>https://pubmed.ncbi.nlm.nih.gov/42748164/</w:t>
      </w:r>
    </w:p>
    <w:p>
      <w:pPr>
        <w:pStyle w:val="Heading2"/>
      </w:pPr>
      <w:r>
        <w:t>NT-proBNP und LVEDP in HFpEF häufig diskordant; Mortalitätsrisiko erhöht nur bei Elevation beider Parameter</w:t>
      </w:r>
    </w:p>
    <w:p>
      <w:r>
        <w:rPr>
          <w:i/>
          <w:color w:val="666666"/>
          <w:sz w:val="18"/>
        </w:rPr>
        <w:t>Güder G et al.  ·  Heart  ·  15.09.2026  ·  PMID 42744605</w:t>
      </w:r>
    </w:p>
    <w:p>
      <w:r>
        <w:t>Prospektive Kohortenstudie an 514 Patienten mit vermuteter HFpEF: Blutentnahme auf NT-proBNP und invasive Messung des linksventrikulären enddiastolischen Drucks erfolgte bei Herzkatheteruntersuchung gleichzeitig.</w:t>
      </w:r>
    </w:p>
    <w:p>
      <w:r>
        <w:rPr>
          <w:b/>
        </w:rPr>
        <w:t xml:space="preserve">Ergebnis: </w:t>
      </w:r>
      <w:r>
        <w:t>Diskordanz zwischen NT-proBNP und LVEDP war häufig (42 %). Adjustierte Mortalität war erhöht bei isolierter NT-proBNP-Elevation (HR 2,26; 95%-KI 1,02–5,01) und bei Elevation beider Parameter (HR 3,33; 95%-KI 1,54–7,20), nicht aber bei isolierter LVEDP-Elevation (HR 1,34; 95%-KI 0,45–4,02). Dies unterstreicht, dass beide Parameter komplementäre Informationen liefern.</w:t>
      </w:r>
    </w:p>
    <w:p>
      <w:r>
        <w:rPr>
          <w:b/>
          <w:sz w:val="19"/>
        </w:rPr>
        <w:t xml:space="preserve">Übertragbarkeit: </w:t>
      </w:r>
      <w:r>
        <w:rPr>
          <w:sz w:val="19"/>
        </w:rPr>
        <w:t>Deutsche Universitätskliniken; direkte invasive Diagnostik ändert Strategie bei vermuteter HFpEF.</w:t>
      </w:r>
    </w:p>
    <w:p>
      <w:r>
        <w:rPr>
          <w:color w:val="5A7D3A"/>
          <w:sz w:val="18"/>
        </w:rPr>
        <w:t>https://pubmed.ncbi.nlm.nih.gov/42744605/</w:t>
      </w:r>
    </w:p>
    <w:p>
      <w:pPr>
        <w:pStyle w:val="Heading2"/>
      </w:pPr>
      <w:r>
        <w:t>Blutkultur-Epidemiologie weist auf Lücken in Endokarditis-Screening hin: Risiko unterschätzt bei Gruppierung seltener Spezies</w:t>
      </w:r>
    </w:p>
    <w:p>
      <w:r>
        <w:rPr>
          <w:i/>
          <w:color w:val="666666"/>
          <w:sz w:val="18"/>
        </w:rPr>
        <w:t>De Oliveira EK et al.  ·  Open Heart  ·  15.09.2026  ·  PMID 42744415</w:t>
      </w:r>
    </w:p>
    <w:p>
      <w:r>
        <w:t>Single-Center-Registerstudie (2015–2021) an 4.242 Patienten/3.708 Admission mit 4.939 Blutkultur-Infektionen: Erfassung aller BSI und Auswertung ihres Anteils an definierter Infektive Endokarditis und Echokardiographie-Screening-Raten.</w:t>
      </w:r>
    </w:p>
    <w:p>
      <w:r>
        <w:rPr>
          <w:b/>
        </w:rPr>
        <w:t xml:space="preserve">Ergebnis: </w:t>
      </w:r>
      <w:r>
        <w:t>IE-Prävalenz aller BSI 2,7 %. Höchste IE-Anteile bei seltenen Pathogenen: Streptococcus bovis 19,2 %, Listeria monocytogenes 16,7 %. Häufigere (Enterobacterales 48,3 %, Staph aureus 11,5 %) zeigten niedrigere IE-Raten. Patienten mit Implantat 5-fach höhere IE-Prävalenz. Echokardiographie-Screening 75 % für S. aureus, 27–59 % für andere Spezies ohne IE.</w:t>
      </w:r>
    </w:p>
    <w:p>
      <w:r>
        <w:rPr>
          <w:b/>
          <w:sz w:val="19"/>
        </w:rPr>
        <w:t xml:space="preserve">Übertragbarkeit: </w:t>
      </w:r>
      <w:r>
        <w:rPr>
          <w:sz w:val="19"/>
        </w:rPr>
        <w:t>Belgisch-italienisches Universitätsklinikum; Systematik auf deutsche Endokarditis-Screening-Protokolle anwendbar.</w:t>
      </w:r>
    </w:p>
    <w:p>
      <w:r>
        <w:rPr>
          <w:color w:val="5A7D3A"/>
          <w:sz w:val="18"/>
        </w:rPr>
        <w:t>https://pubmed.ncbi.nlm.nih.gov/42744415/</w:t>
      </w:r>
    </w:p>
    <w:p>
      <w:pPr>
        <w:pStyle w:val="Heading2"/>
      </w:pPr>
      <w:r>
        <w:t>Spezialisierte Krankenpfleger in Notaufnahme erzielen 92,7 % Genauigkeit beim Akutinfarkt-Screening</w:t>
      </w:r>
    </w:p>
    <w:p>
      <w:r>
        <w:rPr>
          <w:i/>
          <w:color w:val="666666"/>
          <w:sz w:val="18"/>
        </w:rPr>
        <w:t>Shaw C et al.  ·  Open Heart  ·  15.09.2026  ·  PMID 42744414</w:t>
      </w:r>
    </w:p>
    <w:p>
      <w:r>
        <w:t>Britischer Distrikt-Klinik-Evaluationsstudie an 233 Patienten: Vergleich zwischen Diagnosen von Cardiac-Outreach-Practitioners (Spezialkrankenpflegern) außerhalb normaler Geschäftszeiten und finalen Entlassungsdiagnosen durch Kardiologen.</w:t>
      </w:r>
    </w:p>
    <w:p>
      <w:r>
        <w:rPr>
          <w:b/>
        </w:rPr>
        <w:t xml:space="preserve">Ergebnis: </w:t>
      </w:r>
      <w:r>
        <w:t>Exakte diagnostische Konkordanz 92,7 % (216/233). Für akutes Koronarsyndrom: Sensitivität 96,0 %, Spezifität 92,4 %, negativ-prädiktiver Wert 98,0 %, Cohen κ = 0,858 (95%-KI 0,789–0,927). Von 17 diskordanten Fällen führte keine zu verzögerter Eskalation oder Diagnostik.</w:t>
      </w:r>
    </w:p>
    <w:p>
      <w:r>
        <w:rPr>
          <w:b/>
          <w:sz w:val="19"/>
        </w:rPr>
        <w:t xml:space="preserve">Übertragbarkeit: </w:t>
      </w:r>
      <w:r>
        <w:rPr>
          <w:sz w:val="19"/>
        </w:rPr>
        <w:t>UK National Health Service-Daten; Modell auf strukturierte Versorgungspfade in Deutschland anwendbar.</w:t>
      </w:r>
    </w:p>
    <w:p>
      <w:r>
        <w:rPr>
          <w:color w:val="5A7D3A"/>
          <w:sz w:val="18"/>
        </w:rPr>
        <w:t>https://pubmed.ncbi.nlm.nih.gov/42744414/</w:t>
      </w:r>
    </w:p>
    <w:p>
      <w:pPr>
        <w:pStyle w:val="Heading2"/>
      </w:pPr>
      <w:r>
        <w:t>Gen-Silencer Eplontersen wirksam nur ohne parallele TTR-Stabilisator-Therapie bei ATTR-Kardiomyopathie</w:t>
      </w:r>
    </w:p>
    <w:p>
      <w:r>
        <w:rPr>
          <w:i/>
          <w:color w:val="666666"/>
          <w:sz w:val="18"/>
        </w:rPr>
        <w:t>García-Pavía P et al.  ·  Nat Med  ·  30.08.2026  ·  PMID 42742182</w:t>
      </w:r>
    </w:p>
    <w:p>
      <w:r>
        <w:t>Präspezifizierte Sekundäranalyse der Phase-3-Studie CARDIO-TTRansform (n=1.432 ATTR-Kardiomyopathie-Patienten): Randomisierung zu Eplontersen oder Placebo; 57 % unter basaler TTR-Stabilisator-Therapie.</w:t>
      </w:r>
    </w:p>
    <w:p>
      <w:r>
        <w:rPr>
          <w:b/>
        </w:rPr>
        <w:t xml:space="preserve">Ergebnis: </w:t>
      </w:r>
      <w:r>
        <w:t>Primärer Endpunkt (kardiovaskulärer Tod oder rekurrente kardiovaskuläre Ereignisse) zeigte Behandlungs-Wechselwirkung nach Stabilisator-Status (P=0,017). Vorteil ohne Stabilisator (RR 0,71; 95%-KI 0,54–0,93; p=0,012), kein Vorteil mit Stabilisator (RR 1,14; 95%-KI 0,85–1,53; p=0,39). Sicherheitsprofil in beiden Gruppen günstig.</w:t>
      </w:r>
    </w:p>
    <w:p>
      <w:r>
        <w:rPr>
          <w:b/>
          <w:sz w:val="19"/>
        </w:rPr>
        <w:t xml:space="preserve">Übertragbarkeit: </w:t>
      </w:r>
      <w:r>
        <w:rPr>
          <w:sz w:val="19"/>
        </w:rPr>
        <w:t>Internationale Phase-3-Studie; Therapie in Deutschland verordnungsfähig, Ergebnis steuert Kombinationsentscheidungen.</w:t>
      </w:r>
    </w:p>
    <w:p>
      <w:r>
        <w:rPr>
          <w:color w:val="5A7D3A"/>
          <w:sz w:val="18"/>
        </w:rPr>
        <w:t>https://pubmed.ncbi.nlm.nih.gov/42742182/</w:t>
      </w:r>
    </w:p>
    <w:p>
      <w:pPr>
        <w:pStyle w:val="Heading2"/>
      </w:pPr>
      <w:r>
        <w:t>RBM20-Gain-of-Function-Varianten verschlechtern Mitochondrienfunktion und Herzinsuffizienz-Phänotyp</w:t>
      </w:r>
    </w:p>
    <w:p>
      <w:r>
        <w:rPr>
          <w:i/>
          <w:color w:val="666666"/>
          <w:sz w:val="18"/>
        </w:rPr>
        <w:t>Kornienko J et al.  ·  Circulation  ·  15.09.2026  ·  PMID 42741825</w:t>
      </w:r>
    </w:p>
    <w:p>
      <w:r>
        <w:t>Mechanistische Studie bei Mausmodellen mit RBM20-Varianten und humanen induzierten pluripotenten Stammzell-Kardiomyten: Untersuchung der Auswirkung auf Mitochondrial Respiration, Calcium-Handling und ultrastrukturelle Veränderungen.</w:t>
      </w:r>
    </w:p>
    <w:p>
      <w:r>
        <w:rPr>
          <w:b/>
        </w:rPr>
        <w:t xml:space="preserve">Ergebnis: </w:t>
      </w:r>
      <w:r>
        <w:t>RBM20 Gain-of-Function, nicht Loss-of-Function, senkte lösliche Mitochondrienproteine und das Kalzium-Efflux-Regulator TMEM65, führte zu vergrößerten Mitochondrien mit Cristae-Desorganisation, verminderter oxidativer Phosphorylierung und abnormaler Kalzium-Handling. Befunde in humanen Kardiomyten reproduziert.</w:t>
      </w:r>
    </w:p>
    <w:p>
      <w:r>
        <w:rPr>
          <w:b/>
          <w:sz w:val="19"/>
        </w:rPr>
        <w:t xml:space="preserve">Übertragbarkeit: </w:t>
      </w:r>
      <w:r>
        <w:rPr>
          <w:sz w:val="19"/>
        </w:rPr>
        <w:t>Deutsche DZHK-Zentren; Mechanismus erklärt aggressive HF-Phänotypen bei GoF-Varianten.</w:t>
      </w:r>
    </w:p>
    <w:p>
      <w:r>
        <w:rPr>
          <w:color w:val="5A7D3A"/>
          <w:sz w:val="18"/>
        </w:rPr>
        <w:t>https://pubmed.ncbi.nlm.nih.gov/42741825/</w:t>
      </w:r>
    </w:p>
    <w:p>
      <w:pPr>
        <w:pStyle w:val="Heading1"/>
      </w:pPr>
      <w:r>
        <w:t>Aufgenommen am 16.09.2026</w:t>
      </w:r>
    </w:p>
    <w:p>
      <w:pPr>
        <w:pStyle w:val="Heading2"/>
      </w:pPr>
      <w:r>
        <w:t>Künstliche Intelligenz und Herzmuskel-Phänotypen vorhersagen Myokardinfarkt-Risiko in der Langzeitbeobachtung</w:t>
      </w:r>
    </w:p>
    <w:p>
      <w:r>
        <w:rPr>
          <w:i/>
          <w:color w:val="666666"/>
          <w:sz w:val="18"/>
        </w:rPr>
        <w:t>Eur Heart J Cardiovasc Imaging  ·  2026  ·  PMID 42721291</w:t>
      </w:r>
    </w:p>
    <w:p>
      <w:r>
        <w:t>Post-hoc-Analyse der SCOT-HEART-Studie mit 1.736 Teilnehmern untersuchte, ob radiomische Phänotypen aus Herz-CTA das Langzeit-Risiko für Herzinfarkt (Median 8,6 Jahre Follow-up) vorhersagen über konventionelle Risikofaktoren hinaus.</w:t>
      </w:r>
    </w:p>
    <w:p>
      <w:r>
        <w:rPr>
          <w:b/>
        </w:rPr>
        <w:t xml:space="preserve">Ergebnis: </w:t>
      </w:r>
      <w:r>
        <w:t>82 von 1.736 Teilnehmern (4,7%) erlebten während Follow-up tödlichen oder nicht-tödlichen Myokardinfarkt. Radiomische Phänotypen waren assoziiert mit Alter, Geschlecht, Hypertension und Diabetes (p&lt;0,01). Integration radiomischer Merkmale in klinisches Modell verbesserte Diskrimination für zukünftige Myokardinfarkte (C-Index von 0,693 auf 0,722, Δ=0,029, p&lt;0,001) und Modell-Fit (Likelihood-Ratio-Test χ²=13,5, p=0,009).</w:t>
      </w:r>
    </w:p>
    <w:p>
      <w:r>
        <w:rPr>
          <w:b/>
          <w:sz w:val="19"/>
        </w:rPr>
        <w:t xml:space="preserve">Übertragbarkeit: </w:t>
      </w:r>
      <w:r>
        <w:rPr>
          <w:sz w:val="19"/>
        </w:rPr>
        <w:t>Schottische Studie, vergleichbare europäische Gesundheitssysteme.</w:t>
      </w:r>
    </w:p>
    <w:p>
      <w:r>
        <w:rPr>
          <w:color w:val="5A7D3A"/>
          <w:sz w:val="18"/>
        </w:rPr>
        <w:t>https://pubmed.ncbi.nlm.nih.gov/42721291/</w:t>
      </w:r>
    </w:p>
    <w:p>
      <w:pPr>
        <w:pStyle w:val="Heading2"/>
      </w:pPr>
      <w:r>
        <w:t>LMNA-Genotyp und Vorhofflimmern-Risiko in genetischer Kardiomyopathie</w:t>
      </w:r>
    </w:p>
    <w:p>
      <w:r>
        <w:rPr>
          <w:i/>
          <w:color w:val="666666"/>
          <w:sz w:val="18"/>
        </w:rPr>
        <w:t>Circ Heart Fail  ·  2026  ·  PMID 42717878</w:t>
      </w:r>
    </w:p>
    <w:p>
      <w:r>
        <w:t>Beobachtungsstudie von 3.117 Patienten mit genetischer dilatativer Kardiomyopathie (DCM) aus der SHaRe-Registry untersuchte Prävalenz, Inzidenz und Prognosebedeutung von Vorhofflimmern nach Genotyp.</w:t>
      </w:r>
    </w:p>
    <w:p>
      <w:r>
        <w:rPr>
          <w:b/>
        </w:rPr>
        <w:t xml:space="preserve">Ergebnis: </w:t>
      </w:r>
      <w:r>
        <w:t>Von 2.491 AF-freien Patienten mit Follow-up entwickelten 312 (12,5%) während eines Medians von 4,5 Jahren Vorhofflimmern. Kumulative AF-Prävalenz betrug 23,6%. LMNA zeigte die höchste AF-Inzidenz (7,6 pro 100 Patientenjahre) und kumulative AF-Prävalenz (56,7%) und war die einzige Genotyp-Variable unabhängig assoziiert mit inzidentem AF (HR 5,52, 95% KI 3,84-7,95; p&lt;0,001). TTN hatte AF-Inzidenz von 2,1 pro 100 Patientenjahre. AF war unabhängig assoziiert mit erhöhtem Risiko für kombiniertes Endpunkt (HR 1,58, 95% KI 1,29-1,94; p&lt;0,001) einschließlich Herzinsuffizienz, ventrikuläre Arrhythmien und Gesamtsterblichkeit.</w:t>
      </w:r>
    </w:p>
    <w:p>
      <w:r>
        <w:rPr>
          <w:b/>
          <w:sz w:val="19"/>
        </w:rPr>
        <w:t xml:space="preserve">Übertragbarkeit: </w:t>
      </w:r>
      <w:r>
        <w:rPr>
          <w:sz w:val="19"/>
        </w:rPr>
        <w:t>Internationale Studie mit niederländischen/europäischen Zentren, vergleichbar mit deutschen Versorgungssystemen.</w:t>
      </w:r>
    </w:p>
    <w:p>
      <w:r>
        <w:rPr>
          <w:color w:val="5A7D3A"/>
          <w:sz w:val="18"/>
        </w:rPr>
        <w:t>https://pubmed.ncbi.nlm.nih.gov/42717878/</w:t>
      </w:r>
    </w:p>
    <w:p>
      <w:pPr>
        <w:pStyle w:val="Heading1"/>
      </w:pPr>
      <w:r>
        <w:t>Aufgenommen am 15.09.2026</w:t>
      </w:r>
    </w:p>
    <w:p>
      <w:pPr>
        <w:pStyle w:val="Heading2"/>
      </w:pPr>
      <w:r>
        <w:t>Klinische Verwaltung des Herzinfarkts: Revaskularisierung, Sekundärprävention und Umgang mit Hochrisiko-Gruppen</w:t>
      </w:r>
    </w:p>
    <w:p>
      <w:r>
        <w:rPr>
          <w:i/>
          <w:color w:val="666666"/>
          <w:sz w:val="18"/>
        </w:rPr>
        <w:t>Landi A et al.  ·  Circulation  ·  15.09.2026  ·  PMID 42735223</w:t>
      </w:r>
    </w:p>
    <w:p>
      <w:r>
        <w:t>Konsens-Review der zeitgenössischen Verwaltung des Herzinfarkts mit Fokus auf diagnostische Rahmenbedingungen, Risikostratifizierung, Revaskularisierungsstrategien (Timing, komplette Revaskularisierung) und Sekundärprävention, einschließlich MI ohne obstruktive Koronararterienerkrankung.</w:t>
      </w:r>
    </w:p>
    <w:p>
      <w:r>
        <w:rPr>
          <w:b/>
        </w:rPr>
        <w:t xml:space="preserve">Ergebnis: </w:t>
      </w:r>
      <w:r>
        <w:t>Das Review fasst aktuelle Evidenz zusammen: Protokollierte sofortige Reperfusion durch pPCI oder Fibrinolyse (wenn pPCI nicht innerhalb 120 Min verfügbar) reduzierte Mortalität substanziell. Adjunktive Pharmakotherapie und Sekundärprävention sind kritisch. Über 370.000 Todesfälle pro Jahr in USA trotz Fortschritten; viele Patienten erleben Rezidiv-Ereignisse trotz Risikofaktor-Kontrolle, was neue Ansätze zur post-MI-Komplikations-Vorbeugung motiviert.</w:t>
      </w:r>
    </w:p>
    <w:p>
      <w:r>
        <w:rPr>
          <w:b/>
          <w:sz w:val="19"/>
        </w:rPr>
        <w:t xml:space="preserve">Übertragbarkeit: </w:t>
      </w:r>
      <w:r>
        <w:rPr>
          <w:sz w:val="19"/>
        </w:rPr>
        <w:t>Internationales Kardiologie-Review, klinische Standard-Verwaltung, praxis-orientiert für Deutsch-Versorgung.</w:t>
      </w:r>
    </w:p>
    <w:p>
      <w:r>
        <w:rPr>
          <w:color w:val="5A7D3A"/>
          <w:sz w:val="18"/>
        </w:rPr>
        <w:t>https://pubmed.ncbi.nlm.nih.gov/42735223/</w:t>
      </w:r>
    </w:p>
    <w:p>
      <w:pPr>
        <w:pStyle w:val="Heading2"/>
      </w:pPr>
      <w:r>
        <w:t>Arterielle Steifheit und LV-Dysfunktion erklären schlechte Lebensqualität vor Vorhofflimmern-Ablation</w:t>
      </w:r>
    </w:p>
    <w:p>
      <w:r>
        <w:rPr>
          <w:i/>
          <w:color w:val="666666"/>
          <w:sz w:val="18"/>
        </w:rPr>
        <w:t>Kruska M et al.  ·  Clin Res Cardiol  ·  14.09.2026  ·  PMID 42734670</w:t>
      </w:r>
    </w:p>
    <w:p>
      <w:r>
        <w:t>Deutsche prospektive Beobachtungsstudie mit 83 Patienten mit symptomatischem Vorhofflimmern zur Untersuchung von Gefäß- und Herzparametern als Determinanten der AFEQT-Lebensqualitäts-Scores vor Ablation.</w:t>
      </w:r>
    </w:p>
    <w:p>
      <w:r>
        <w:rPr>
          <w:b/>
        </w:rPr>
        <w:t xml:space="preserve">Ergebnis: </w:t>
      </w:r>
      <w:r>
        <w:t>Reduzierte Lebensqualität (mittlerer AFEQT 60±19) korrelierte stark mit höherer Gefäßsteifheit (r=-0,62, p&lt;0,001), erhöhtem zentralen systolischem Druck (r=-0,38, p&lt;0,001), LV-Auswurffraktion &lt;50% (r=-0,74, p&lt;0,001) und NT-proBNP (r=-0,38, p&lt;0,001). Diese Assoziationen deuten darauf hin, dass kardiovaskuläre Dysfunktion jenseits des Vorhofflimmerns die Symptome treibt.</w:t>
      </w:r>
    </w:p>
    <w:p>
      <w:r>
        <w:rPr>
          <w:b/>
          <w:sz w:val="19"/>
        </w:rPr>
        <w:t xml:space="preserve">Übertragbarkeit: </w:t>
      </w:r>
      <w:r>
        <w:rPr>
          <w:sz w:val="19"/>
        </w:rPr>
        <w:t>Deutsche Universitätsklinik-Daten, Ablationspatient*innen in der Regelversorgung repräsentativ.</w:t>
      </w:r>
    </w:p>
    <w:p>
      <w:r>
        <w:rPr>
          <w:color w:val="5A7D3A"/>
          <w:sz w:val="18"/>
        </w:rPr>
        <w:t>https://pubmed.ncbi.nlm.nih.gov/42734670/</w:t>
      </w:r>
    </w:p>
    <w:p>
      <w:pPr>
        <w:pStyle w:val="Heading2"/>
      </w:pPr>
      <w:r>
        <w:t>Nx3-Protein bei Herzinsuffizienz reduziert: Z-Scheiben-Struktur und Signalübertragung beeinträchtigt</w:t>
      </w:r>
    </w:p>
    <w:p>
      <w:r>
        <w:rPr>
          <w:i/>
          <w:color w:val="666666"/>
          <w:sz w:val="18"/>
        </w:rPr>
        <w:t>Linke WA et al.  ·  Circ Res  ·  10.09.2026  ·  PMID 42717863</w:t>
      </w:r>
    </w:p>
    <w:p>
      <w:r>
        <w:t>Grundlagenforschung mit Maus- und Humanmodellen zur Rolle des Z-Scheiben-Proteins Nx3 (novex-3), einem kleinen Titin-Isoform, in der Herzmuskel-Mechanik und Signalübertragung bei Herzinsuffizienz.</w:t>
      </w:r>
    </w:p>
    <w:p>
      <w:r>
        <w:rPr>
          <w:b/>
        </w:rPr>
        <w:t xml:space="preserve">Ergebnis: </w:t>
      </w:r>
      <w:r>
        <w:t>Nx3 macht 20-25% des Gesamt-Titin-Proteins aus. Genetische Ablation oder Reduktion beeinträchtigte Z-Scheiben-Organisation und mechanische Leistung. Bei dilatativer Kardiomyopathie im Endstadium war Nx3-Expression dysreguliert und reduziert (versus normal), mit fokalen Z-Scheiben-Störungen. Nx3 interagiert mit Pin1 und TBC1D4, die Stoffwechsel-Signalisierung regulieren. Das erklärt einen strukturellen und funktionellen Mechanismus von Herzinsuffizienzverschlechterung.</w:t>
      </w:r>
    </w:p>
    <w:p>
      <w:r>
        <w:rPr>
          <w:b/>
          <w:sz w:val="19"/>
        </w:rPr>
        <w:t xml:space="preserve">Übertragbarkeit: </w:t>
      </w:r>
      <w:r>
        <w:rPr>
          <w:sz w:val="19"/>
        </w:rPr>
        <w:t>Deutsche und europäische Grundlagenlabore, mechanistisches Fundament für zukünftige therapeutische Entwicklung.</w:t>
      </w:r>
    </w:p>
    <w:p>
      <w:r>
        <w:rPr>
          <w:color w:val="5A7D3A"/>
          <w:sz w:val="18"/>
        </w:rPr>
        <w:t>https://pubmed.ncbi.nlm.nih.gov/42717863/</w:t>
      </w:r>
    </w:p>
    <w:p>
      <w:pPr>
        <w:pStyle w:val="Heading2"/>
      </w:pPr>
      <w:r>
        <w:t>Niedrigeres Noradrenalin-Blutdruckziel bei kardiogenem Schock verbessert Nieren- und Sterblichkeitsergebnisse: NORshock-Studie Design</w:t>
      </w:r>
    </w:p>
    <w:p>
      <w:r>
        <w:rPr>
          <w:i/>
          <w:color w:val="666666"/>
          <w:sz w:val="18"/>
        </w:rPr>
        <w:t>Ten Berg S et al.  ·  EuroIntervention  ·  07.09.2026  ·  PMID 42703766</w:t>
      </w:r>
    </w:p>
    <w:p>
      <w:r>
        <w:t>Internationale, offene, multizentrische RCT mit geplant 776 Patienten mit Herzinfarkt-bedingtem kardiogenem Schock, die Noradrenalin mit Ziel-Mitteldruck 55 mmHg versus Standard 65 mmHg erhalten.</w:t>
      </w:r>
    </w:p>
    <w:p>
      <w:r>
        <w:rPr>
          <w:b/>
        </w:rPr>
        <w:t xml:space="preserve">Ergebnis: </w:t>
      </w:r>
      <w:r>
        <w:t>Primärer Endpunkt ist kombiniert: Gesamtmortalität und Nierenersatztherapie innerhalb 30 Tagen. Die Studie testet die Hypothese, dass permissive Hypotension mit weniger Noradrenalin die Standardbehandlung übertrifft und soll Belege für ein neueres Management kardiogener Schocks liefern.</w:t>
      </w:r>
    </w:p>
    <w:p>
      <w:r>
        <w:rPr>
          <w:b/>
          <w:sz w:val="19"/>
        </w:rPr>
        <w:t xml:space="preserve">Übertragbarkeit: </w:t>
      </w:r>
      <w:r>
        <w:rPr>
          <w:sz w:val="19"/>
        </w:rPr>
        <w:t>Europäisch-niederländische Kooperation, Versorgungsstandard-relevante Studie zu etablierter Notfall-Therapie.</w:t>
      </w:r>
    </w:p>
    <w:p>
      <w:r>
        <w:rPr>
          <w:color w:val="5A7D3A"/>
          <w:sz w:val="18"/>
        </w:rPr>
        <w:t>https://pubmed.ncbi.nlm.nih.gov/42703766/</w:t>
      </w:r>
    </w:p>
    <w:p>
      <w:pPr>
        <w:pStyle w:val="Heading2"/>
      </w:pPr>
      <w:r>
        <w:t>Persistierende Troponin-T-Erhöhung nach ACS sagt Herzinsuffizienz innerhalb eines Jahres voraus</w:t>
      </w:r>
    </w:p>
    <w:p>
      <w:r>
        <w:rPr>
          <w:i/>
          <w:color w:val="666666"/>
          <w:sz w:val="18"/>
        </w:rPr>
        <w:t>Erichsen PA et al.  ·  Int J Cardiol  ·  30.08.2026  ·  PMID 42669312</w:t>
      </w:r>
    </w:p>
    <w:p>
      <w:r>
        <w:t>Dänische Register-Kohortenstudie mit 26.835 Patienten ohne bekannte Herzinsuffizienz, die sich mit akutem Koronarsyndrom vorstellten und zwei Troponin-T-Messungen erhielten, zur Vorhersage von Herzinsuffizienzhospitalisierung.</w:t>
      </w:r>
    </w:p>
    <w:p>
      <w:r>
        <w:rPr>
          <w:b/>
        </w:rPr>
        <w:t xml:space="preserve">Ergebnis: </w:t>
      </w:r>
      <w:r>
        <w:t>Innerhalb von 30 Tagen entwickelten 4,2% der Patienten Herzinsuffizienz, zwischen Tag 31-365 weitere 2,8%. Patienten mit zwei normalen Troponinwerten hatten das niedrigste Risiko (0-30 Tage: 0,3%, Tag 31-365: 0,4%), während persistierende Troponinerhöhung das höchste Risiko zeigte (0-30 Tage: 6,6%, Tag 31-365: 4,3%). Höhere Peak-Troponinwerte korrelierten mit erhöhtem Herzinsuffizienzrisiko.</w:t>
      </w:r>
    </w:p>
    <w:p>
      <w:r>
        <w:rPr>
          <w:b/>
          <w:sz w:val="19"/>
        </w:rPr>
        <w:t xml:space="preserve">Übertragbarkeit: </w:t>
      </w:r>
      <w:r>
        <w:rPr>
          <w:sz w:val="19"/>
        </w:rPr>
        <w:t>Skandinavische Gesundheitsregisterdaten, Biomarker-Strategie auf deutsche Akut-Versorgung übertragbar.</w:t>
      </w:r>
    </w:p>
    <w:p>
      <w:r>
        <w:rPr>
          <w:color w:val="5A7D3A"/>
          <w:sz w:val="18"/>
        </w:rPr>
        <w:t>https://pubmed.ncbi.nlm.nih.gov/42669312/</w:t>
      </w:r>
    </w:p>
    <w:p>
      <w:pPr>
        <w:pStyle w:val="Heading2"/>
      </w:pPr>
      <w:r>
        <w:t>Catheter ablation für symptomatisches Vorhofflimmern zeigt keine Überlegenheit gegenüber Sham-Verfahren</w:t>
      </w:r>
    </w:p>
    <w:p>
      <w:r>
        <w:rPr>
          <w:i/>
          <w:color w:val="666666"/>
          <w:sz w:val="18"/>
        </w:rPr>
        <w:t>Wachter R et al.  ·  Lancet  ·  12.09.2026  ·  PMID 42669307</w:t>
      </w:r>
    </w:p>
    <w:p>
      <w:r>
        <w:t>Doppelblinde, randomisierte deutsche und polnische Studie mit 262 Patienten zur Frage, ob Katheterablation die Lebensqualität bei symptomatischem Vorhofflimmern besser verbessert als ein Schein-Verfahren.</w:t>
      </w:r>
    </w:p>
    <w:p>
      <w:r>
        <w:rPr>
          <w:b/>
        </w:rPr>
        <w:t xml:space="preserve">Ergebnis: </w:t>
      </w:r>
      <w:r>
        <w:t>Nach 6 Monaten zeigte die Katheterablation-Gruppe eine Verbesserung des AFEQT-Scores von 61,3 auf 81,1 Punkte, die Sham-Gruppe von 59,2 auf 74,9 Punkte. Der Unterschied zwischen den Gruppen betrug nur 2,6 Punkte (95% KI -2,7 bis 8,0; p=0,36), was statistisch nicht signifikant war. Ernsthafte, mit der Prozedur verbundene Nebenwirkungen traten bei 10 Patienten auf (6 Ablation, 4 Sham).</w:t>
      </w:r>
    </w:p>
    <w:p>
      <w:r>
        <w:rPr>
          <w:b/>
          <w:sz w:val="19"/>
        </w:rPr>
        <w:t xml:space="preserve">Übertragbarkeit: </w:t>
      </w:r>
      <w:r>
        <w:rPr>
          <w:sz w:val="19"/>
        </w:rPr>
        <w:t>Deutsche Multizenterstudie mit standardisierten Messinstrumenten, unmittelbar auf deutsche Versorgung übertragbar.</w:t>
      </w:r>
    </w:p>
    <w:p>
      <w:r>
        <w:rPr>
          <w:color w:val="5A7D3A"/>
          <w:sz w:val="18"/>
        </w:rPr>
        <w:t>https://pubmed.ncbi.nlm.nih.gov/42669307/</w:t>
      </w:r>
    </w:p>
    <w:p>
      <w:pPr>
        <w:pStyle w:val="Heading1"/>
      </w:pPr>
      <w:r>
        <w:t>Aufgenommen am 14.09.2026</w:t>
      </w:r>
    </w:p>
    <w:p>
      <w:pPr>
        <w:pStyle w:val="Heading2"/>
      </w:pPr>
      <w:r>
        <w:t>Adipositas verstärkt Herzinfarkt-Schaden durch gesteigerte myeloide TREM1-Expression</w:t>
      </w:r>
    </w:p>
    <w:p>
      <w:r>
        <w:rPr>
          <w:i/>
          <w:color w:val="666666"/>
          <w:sz w:val="18"/>
        </w:rPr>
        <w:t>Gladow N et al.  ·  Basic Res Cardiol  ·  11.09.2026  ·  PMID 42726202</w:t>
      </w:r>
    </w:p>
    <w:p>
      <w:r>
        <w:t>Experimentelle Studie an diätinduziert adipösen und schlanken Mäusen beiden Geschlechts zur Rolle von Myelopoiese und TREM1-Blockade nach experimentellem Herzinfarkt.</w:t>
      </w:r>
    </w:p>
    <w:p>
      <w:r>
        <w:rPr>
          <w:b/>
        </w:rPr>
        <w:t xml:space="preserve">Ergebnis: </w:t>
      </w:r>
      <w:r>
        <w:t>Adipöse Mäuse zeigten höhere Körpergewichte, signifikant erhöhte Myelopoiese in der Milz und höhere periphere Leukozyten als schlanke Weibchen. Überlebensvorteil bei schlanken Tieren: 56 Tage nach MI 87% Überleben vs. 58% bei adipösen (p&lt;0,05). Adipöse Mäuse: erhöhte infarkt-induzierte Myelopoiese, höhere Granulozyt-, Monozyten- und pro-inflammatorische Makrophagen-Zahl im Myokard. TREM1-Expression verstärkt bei adipösen Mäusen am Tag 5 nach MI (RNA-Sequenzierung und Immunohistologie). TREM1-Blockade führte zu signifikant besserer Erhaltung der systolischen Funktion bei adipösen Mäusen.</w:t>
      </w:r>
    </w:p>
    <w:p>
      <w:r>
        <w:rPr>
          <w:b/>
          <w:sz w:val="19"/>
        </w:rPr>
        <w:t xml:space="preserve">Übertragbarkeit: </w:t>
      </w:r>
      <w:r>
        <w:rPr>
          <w:sz w:val="19"/>
        </w:rPr>
        <w:t>Deutsche Grundlagenforschung (Würzburg), erkennbarer Weg zur Therapie (TREM1-Blockade)</w:t>
      </w:r>
    </w:p>
    <w:p>
      <w:r>
        <w:rPr>
          <w:color w:val="5A7D3A"/>
          <w:sz w:val="18"/>
        </w:rPr>
        <w:t>https://pubmed.ncbi.nlm.nih.gov/42726202/</w:t>
      </w:r>
    </w:p>
    <w:p>
      <w:pPr>
        <w:pStyle w:val="Heading2"/>
      </w:pPr>
      <w:r>
        <w:t>Geschlechtsspezifische Unterschiede bei akuter Herzinsuffizienz: Präsentation, Befunde und Genesung</w:t>
      </w:r>
    </w:p>
    <w:p>
      <w:r>
        <w:rPr>
          <w:i/>
          <w:color w:val="666666"/>
          <w:sz w:val="18"/>
        </w:rPr>
        <w:t>Khoraizat A et al.  ·  ESC Heart Fail  ·  09.09.2026  ·  PMID 42714581</w:t>
      </w:r>
    </w:p>
    <w:p>
      <w:r>
        <w:t>Prospektive observationsstudie zu Geschlechtsunterschieden in Klinik, Bildgebung und Kurzzeitverlauf bei 567 hospitalisierten Patienten mit akuter Herzinsuffizienz in Dänemark.</w:t>
      </w:r>
    </w:p>
    <w:p>
      <w:r>
        <w:rPr>
          <w:b/>
        </w:rPr>
        <w:t xml:space="preserve">Ergebnis: </w:t>
      </w:r>
      <w:r>
        <w:t>248 Frauen (43,7%) vs. 319 Männer, Durchschnittsalter 78,2±11,6 Jahre. Frauen älter, häufiger Vorhofflimmern (p&lt;0,05) und Hypertonie, Männer häufiger dyslipidämisch und mit Herzinfarkt-Anamnese. Frauen präsentierten häufiger mit Palpitationen/Ödemen, Männer mit Brustschmerz. Frauen: höhere LVEF (38% vs. 35%; p&lt;0,001), höhere GLS-Absolutwerte (10,5±4,7% vs. 9,7±4,4%; p=0,04), niedrigerer LV-Mass-Index (113 vs. 136 g/m²; p&lt;0,001). Männer höhere B-Linien-Zahl in Lungencsonografie (5 [1-12] vs. 2 [0-9]; p=0,003). Kurzzeitverlauf und 180-Tage-Ergebnisse vergleichbar zwischen Geschlechtern.</w:t>
      </w:r>
    </w:p>
    <w:p>
      <w:r>
        <w:rPr>
          <w:b/>
          <w:sz w:val="19"/>
        </w:rPr>
        <w:t xml:space="preserve">Übertragbarkeit: </w:t>
      </w:r>
      <w:r>
        <w:rPr>
          <w:sz w:val="19"/>
        </w:rPr>
        <w:t>Europäisches (dänisches) Gesundheitssystem, skandinavische Versorgungspraxis</w:t>
      </w:r>
    </w:p>
    <w:p>
      <w:r>
        <w:rPr>
          <w:color w:val="5A7D3A"/>
          <w:sz w:val="18"/>
        </w:rPr>
        <w:t>https://pubmed.ncbi.nlm.nih.gov/42714581/</w:t>
      </w:r>
    </w:p>
    <w:p>
      <w:pPr>
        <w:pStyle w:val="Heading2"/>
      </w:pPr>
      <w:r>
        <w:t>Genetische Varianten erhöhen Herzinsuffizienz-Risiko bei hypoplastischem Linksherz 9-fach</w:t>
      </w:r>
    </w:p>
    <w:p>
      <w:r>
        <w:rPr>
          <w:i/>
          <w:color w:val="666666"/>
          <w:sz w:val="18"/>
        </w:rPr>
        <w:t>Balint BN et al.  ·  J Am Coll Cardiol  ·  08.09.2026  ·  PMID 42714046</w:t>
      </w:r>
    </w:p>
    <w:p>
      <w:r>
        <w:t>Prospektive US-Multizenterstudie (Duke, UNC, Nationwide, Vanderbilt) zur Assoziation seltener Varianten in Kardiomyopathie-Genen mit früher Herzinsuffizienz-Entwicklung bei Neugeborenen mit hypoplastischem Linksherz.</w:t>
      </w:r>
    </w:p>
    <w:p>
      <w:r>
        <w:rPr>
          <w:b/>
        </w:rPr>
        <w:t xml:space="preserve">Ergebnis: </w:t>
      </w:r>
      <w:r>
        <w:t>35 Neugeborene prospektiv eingeschlossen: 7 (20%) entwickelten schwere HF, 10 (28,6%) medizinisch behandelte HF, 18 (51,4%) blieben HF-frei. Pathogene/wahrscheinlich pathogene Varianten assoziiert mit 9-fach erhöhtem Risiko für schwere HF (p=0,02). 67% der schweren HF-Ereignisse im ersten Lebensmonat. Externe Replikation an Nationwide Children's (11-fach erhöht; p&lt;0,05) und Vanderbilt (3-fach; p&lt;0,05). Ambispektive Kohorte (ältere Patienten) zeigten abgeschwächte Assoziationen (p&gt;0,05).</w:t>
      </w:r>
    </w:p>
    <w:p>
      <w:r>
        <w:rPr>
          <w:b/>
          <w:sz w:val="19"/>
        </w:rPr>
        <w:t xml:space="preserve">Übertragbarkeit: </w:t>
      </w:r>
      <w:r>
        <w:rPr>
          <w:sz w:val="19"/>
        </w:rPr>
        <w:t>USA-Studie, aber genetische Befunde universell; Risikostratifizierung prinzipiell auf Deutschland übertragbar</w:t>
      </w:r>
    </w:p>
    <w:p>
      <w:r>
        <w:rPr>
          <w:color w:val="5A7D3A"/>
          <w:sz w:val="18"/>
        </w:rPr>
        <w:t>https://pubmed.ncbi.nlm.nih.gov/42714046/</w:t>
      </w:r>
    </w:p>
    <w:p>
      <w:pPr>
        <w:pStyle w:val="Heading2"/>
      </w:pPr>
      <w:r>
        <w:t>Trikuspidalinsuffizienz in ATTR-Kardiomyopathie: Neue quantitative Prognosegrenzwerte</w:t>
      </w:r>
    </w:p>
    <w:p>
      <w:r>
        <w:rPr>
          <w:i/>
          <w:color w:val="666666"/>
          <w:sz w:val="18"/>
        </w:rPr>
        <w:t>Hauptmann L et al.  ·  JAMA Cardiol  ·  31.08.2026  ·  PMID 42671012</w:t>
      </w:r>
    </w:p>
    <w:p>
      <w:r>
        <w:t>Internationale multizentrische Kohortenstudie in Österreich, Italien, Deutschland und Niederlanden zur Ableitung krankheitsspezifischer Prognose-Schwellwerte für Trikuspidalinsuffizienz bei Transthyretin-Amyloid-Kardiomyopathie.</w:t>
      </w:r>
    </w:p>
    <w:p>
      <w:r>
        <w:rPr>
          <w:b/>
        </w:rPr>
        <w:t xml:space="preserve">Ergebnis: </w:t>
      </w:r>
      <w:r>
        <w:t>1124 Patienten (Derivation 745, Validation 379); 324/1124 Patienten (28,8%) starben, 251 (22,3%) hospitalisiert wegen Herzinsuffizienz über Mediann-Nachverfolgung von 25,2 Monaten. Neue Schwellwerte (VCW ≥5 mm, EROA ≥0,25 cm², RegVol ≥20 mL) identifizierten 334 Patienten (29,7%) mit hohem/extremen Risiko vs. 130 (11,6%) nach Leitliniendefinition. Hazard Ratio für Mortalität 1,41 (95%-KI 1,23-1,62) pro Stadium. Überlegene Diskriminierung gegenüber Standarddefinitionen.</w:t>
      </w:r>
    </w:p>
    <w:p>
      <w:r>
        <w:rPr>
          <w:b/>
          <w:sz w:val="19"/>
        </w:rPr>
        <w:t xml:space="preserve">Übertragbarkeit: </w:t>
      </w:r>
      <w:r>
        <w:rPr>
          <w:sz w:val="19"/>
        </w:rPr>
        <w:t>Europäische multizentrische Daten, vergleichbare Versorgungssysteme in D-A-CH</w:t>
      </w:r>
    </w:p>
    <w:p>
      <w:r>
        <w:rPr>
          <w:color w:val="5A7D3A"/>
          <w:sz w:val="18"/>
        </w:rPr>
        <w:t>https://pubmed.ncbi.nlm.nih.gov/42671012/</w:t>
      </w:r>
    </w:p>
    <w:p>
      <w:pPr>
        <w:pStyle w:val="Heading2"/>
      </w:pPr>
      <w:r>
        <w:t>Transkatheter-Trikuspidalklappnreparatur reduziert Sterblichkeit und Herzinsuffizienz-Hospitalisierung</w:t>
      </w:r>
    </w:p>
    <w:p>
      <w:r>
        <w:rPr>
          <w:i/>
          <w:color w:val="666666"/>
          <w:sz w:val="18"/>
        </w:rPr>
        <w:t>Hausleiter J et al.  ·  N Engl J Med  ·  30.08.2026  ·  PMID 42670975</w:t>
      </w:r>
    </w:p>
    <w:p>
      <w:r>
        <w:t>Randomisierte Studie zum Vergleich von transkatheter Trikuspidalklappnreparatur plus Standardtherapie gegen Standardtherapie allein bei schwerer Trikuspidalinsuffizienz in Deutschland und international.</w:t>
      </w:r>
    </w:p>
    <w:p>
      <w:r>
        <w:rPr>
          <w:b/>
        </w:rPr>
        <w:t xml:space="preserve">Ergebnis: </w:t>
      </w:r>
      <w:r>
        <w:t>Win-Ratio 2,42 (95%-KI 1,76-3,33; p&lt;0,001) für primären kombiniert Endpunkt nach 1 Jahr. Freiheit von Tod oder Herzinsuffizienz-Hospitalisierung über 3 Jahre: 52,4% vs. 21,0% (Hazard Ratio 0,40; 95%-KI 0,29-0,55; p&lt;0,001). Schwere unerwünschte Ereignisse innerhalb 30 Tage in 5,9% der Interventionsgruppe. Praxisveränderndes Ergebnis mit harten Endpunkten.</w:t>
      </w:r>
    </w:p>
    <w:p>
      <w:r>
        <w:rPr>
          <w:b/>
          <w:sz w:val="19"/>
        </w:rPr>
        <w:t xml:space="preserve">Übertragbarkeit: </w:t>
      </w:r>
      <w:r>
        <w:rPr>
          <w:sz w:val="19"/>
        </w:rPr>
        <w:t>Deutsche Studie, DZHK-finanziert, deutsches Patientenkollektiv, direkt übertragbar</w:t>
      </w:r>
    </w:p>
    <w:p>
      <w:r>
        <w:rPr>
          <w:color w:val="5A7D3A"/>
          <w:sz w:val="18"/>
        </w:rPr>
        <w:t>https://pubmed.ncbi.nlm.nih.gov/42670975/</w:t>
      </w:r>
    </w:p>
    <w:p>
      <w:pPr>
        <w:pStyle w:val="Heading2"/>
      </w:pPr>
      <w:r>
        <w:t>Zirkadianer Druck im Vorhof: Abendanstieg auch unter optimierter Diuretika-Therapie</w:t>
      </w:r>
    </w:p>
    <w:p>
      <w:r>
        <w:rPr>
          <w:i/>
          <w:color w:val="666666"/>
          <w:sz w:val="18"/>
        </w:rPr>
        <w:t>Amir Y et al.  ·  Eur J Heart Fail  ·  31.08.2026  ·  PMID 42670644</w:t>
      </w:r>
    </w:p>
    <w:p>
      <w:r>
        <w:t>Observationsstudie mit implantierbarem Drucksensor zu täglichen Schwankungen des linksatrialen Drucks bei ambulanten Herzinsuffizienz-Patienten über 25,5 Monate.</w:t>
      </w:r>
    </w:p>
    <w:p>
      <w:r>
        <w:rPr>
          <w:b/>
        </w:rPr>
        <w:t xml:space="preserve">Ergebnis: </w:t>
      </w:r>
      <w:r>
        <w:t>Über &gt;15.500 Messtage bei 73 Patienten: Medianer linksatrialer Druck abends 12,4 [6,8-18,3] mmHg vs. morgens 10,7 [5,5-17,3] mmHg (p&lt;0,01). Höhere Diuretika-Dosis oder Zweimal-Gabe modifizierte Rhythmus nicht (p=0,98 bzw. p=0,50). Patienten mit akuter Dekompensation zeigten höhere Drücke (14,3 [9,5-19,9] vs. 10,4 [5,4-17,3] mmHg; p&lt;0,01). LAP unabhängig mit erhöhtem Dekompensationsrisiko assoziiert (OR 1,40; 95%-KI 1,10-1,78; p&lt;0,01).</w:t>
      </w:r>
    </w:p>
    <w:p>
      <w:r>
        <w:rPr>
          <w:b/>
          <w:sz w:val="19"/>
        </w:rPr>
        <w:t xml:space="preserve">Übertragbarkeit: </w:t>
      </w:r>
      <w:r>
        <w:rPr>
          <w:sz w:val="19"/>
        </w:rPr>
        <w:t>Remote-Monitoring-Technologie, aber Zentren überregional; Dekompensationserkennung relevant für deutsches DMP</w:t>
      </w:r>
    </w:p>
    <w:p>
      <w:r>
        <w:rPr>
          <w:color w:val="5A7D3A"/>
          <w:sz w:val="18"/>
        </w:rPr>
        <w:t>https://pubmed.ncbi.nlm.nih.gov/42670644/</w:t>
      </w:r>
    </w:p>
    <w:p>
      <w:pPr>
        <w:pStyle w:val="Heading1"/>
      </w:pPr>
      <w:r>
        <w:t>Aufgenommen am 13.09.2026</w:t>
      </w:r>
    </w:p>
    <w:p>
      <w:pPr>
        <w:pStyle w:val="Heading2"/>
      </w:pPr>
      <w:r>
        <w:t>P2Y₁₂-Hemmer vor Angiografie: Weniger STEMI, aber auch weniger Blutungen bei längeren Wartezeiten</w:t>
      </w:r>
    </w:p>
    <w:p>
      <w:r>
        <w:rPr>
          <w:i/>
          <w:color w:val="666666"/>
          <w:sz w:val="18"/>
        </w:rPr>
        <w:t>Hesse K et al.  ·  Open Heart  ·  12.09.2026  ·  PMID 42731862</w:t>
      </w:r>
    </w:p>
    <w:p>
      <w:r>
        <w:t>Vergleich zweier Strategien bei NSTE-ACS: Routinemäßige Gabe eines P2Y₁₂-Hemmers vor Herzkatheter versus Zurückhaltung bis zur Anatomiekenntnis im britischen Versorgungssystem mit längeren Wartezeiten (Median 3,6 Tage).</w:t>
      </w:r>
    </w:p>
    <w:p>
      <w:r>
        <w:rPr>
          <w:b/>
        </w:rPr>
        <w:t xml:space="preserve">Ergebnis: </w:t>
      </w:r>
      <w:r>
        <w:t>Bei Verzicht auf Vorbehandlung: In-hospital-STEMI stieg von 0,4% auf 1,7% (adjustierte OR 4,40; 95%-KI 1,78–13,3), aber actionable Blutungsereignisse sanken von 0,9% auf 0,2% (adjustierte OR 0,18; 95%-KI 0,03–0,70). Längere Wartezeiten verändern das Nutzen-Risiko-Verhältnis gegenüber den Leitlinien, die auf kürzeren Katheterwartezeiten basieren.</w:t>
      </w:r>
    </w:p>
    <w:p>
      <w:r>
        <w:rPr>
          <w:b/>
          <w:sz w:val="19"/>
        </w:rPr>
        <w:t xml:space="preserve">Übertragbarkeit: </w:t>
      </w:r>
      <w:r>
        <w:rPr>
          <w:sz w:val="19"/>
        </w:rPr>
        <w:t>UK-Klinikdaten mit wesentlich längeren Wartezeiten als in Deutschland üblich.</w:t>
      </w:r>
    </w:p>
    <w:p>
      <w:r>
        <w:rPr>
          <w:color w:val="5A7D3A"/>
          <w:sz w:val="18"/>
        </w:rPr>
        <w:t>https://pubmed.ncbi.nlm.nih.gov/42731862/</w:t>
      </w:r>
    </w:p>
    <w:p>
      <w:pPr>
        <w:pStyle w:val="Heading2"/>
      </w:pPr>
      <w:r>
        <w:t>HFpEF-Risikoscores für Primärversorgung in HIV-Hochprävalenzregion anwendbar</w:t>
      </w:r>
    </w:p>
    <w:p>
      <w:r>
        <w:rPr>
          <w:i/>
          <w:color w:val="666666"/>
          <w:sz w:val="18"/>
        </w:rPr>
        <w:t>Honwana F et al.  ·  Open Heart  ·  12.09.2026  ·  PMID 42731860</w:t>
      </w:r>
    </w:p>
    <w:p>
      <w:r>
        <w:t>Entwicklung und interne Validierung eines nomogramm-basierten HFpEF-Vorhersage-Scores für die Primärversorgung in Südafrika unter Berücksichtigung HIV-Status, klinischer Faktoren, BNP und EKG.</w:t>
      </w:r>
    </w:p>
    <w:p>
      <w:r>
        <w:rPr>
          <w:b/>
        </w:rPr>
        <w:t xml:space="preserve">Ergebnis: </w:t>
      </w:r>
      <w:r>
        <w:t>Nomogramm mit Alter, Geschlecht, HIV-Status, Rauchen, Hypertonie, BMI und BNP: Overfitting-korrigierte AUC 0,77 mit guter Kalibrierung. Von 1.508 Teilnehmern (77% Frauen, 42% adipös) erfüllten 7,8% HFpEF-Kriterien (118 Patienten; 8,4% bei HIV-positiv, 6,6% HIV-negativ).</w:t>
      </w:r>
    </w:p>
    <w:p>
      <w:r>
        <w:rPr>
          <w:b/>
          <w:sz w:val="19"/>
        </w:rPr>
        <w:t xml:space="preserve">Übertragbarkeit: </w:t>
      </w:r>
      <w:r>
        <w:rPr>
          <w:sz w:val="19"/>
        </w:rPr>
        <w:t>Südafrika; Score als praktisches Werkzeug für ressourcenlimitierte Primärsettings adaptierbar.</w:t>
      </w:r>
    </w:p>
    <w:p>
      <w:r>
        <w:rPr>
          <w:color w:val="5A7D3A"/>
          <w:sz w:val="18"/>
        </w:rPr>
        <w:t>https://pubmed.ncbi.nlm.nih.gov/42731860/</w:t>
      </w:r>
    </w:p>
    <w:p>
      <w:pPr>
        <w:pStyle w:val="Heading2"/>
      </w:pPr>
      <w:r>
        <w:t>Ultraschnelle ambulante TAVI bei akutem aortalen Klappensyndrom spart Krankenhausbetten</w:t>
      </w:r>
    </w:p>
    <w:p>
      <w:r>
        <w:rPr>
          <w:i/>
          <w:color w:val="666666"/>
          <w:sz w:val="18"/>
        </w:rPr>
        <w:t>Vibhishanan J et al.  ·  Open Heart  ·  12.09.2026  ·  PMID 42731859</w:t>
      </w:r>
    </w:p>
    <w:p>
      <w:r>
        <w:t>Evaluierung eines neuen Versorgungspfads für ausgewählte, stabilisierte Patienten mit akutem aortalen Stenose-Syndroms (AVS) und geplantem TAVI-Einsatz: ambulante Vorbereitung mit Entlassung nach initialem Assessment vs. stationärer Weg in einer britischen Universitätsklinik.</w:t>
      </w:r>
    </w:p>
    <w:p>
      <w:r>
        <w:rPr>
          <w:b/>
        </w:rPr>
        <w:t xml:space="preserve">Ergebnis: </w:t>
      </w:r>
      <w:r>
        <w:t>Von 105 für den ambulanten Weg evaluierten Patienten wurden 58 (55,2%) ambulant und 47 (44,8%) stationär behandelt. Ambulante Gruppe: mediane Gesamtkrankenhaus-Liegedauer 12 Tage (IQR 7–17) vs. stationär 20 Tage (IQR 15–32; p&lt;0,0001), Einsparung von 210 Bettentagen. Zeit von Zuweisung bis TAVI unterschied sich nicht (ambulant 15 vs. stationär 14 Tage; p=0,22). Primärer Sicherheitsendpunkt (Tod oder akute Dekompensation vor TAVI) war gleich (ambulant 6,9% vs. stationär 6,4%; HR 0,97; 95%-KI 0,22–4,34; p=0,97).</w:t>
      </w:r>
    </w:p>
    <w:p>
      <w:r>
        <w:rPr>
          <w:b/>
          <w:sz w:val="19"/>
        </w:rPr>
        <w:t xml:space="preserve">Übertragbarkeit: </w:t>
      </w:r>
      <w:r>
        <w:rPr>
          <w:sz w:val="19"/>
        </w:rPr>
        <w:t>UK-Klinik; Konzept auf vergleichbare europäische Zentren übertragbar, bedarf Validierung.</w:t>
      </w:r>
    </w:p>
    <w:p>
      <w:r>
        <w:rPr>
          <w:color w:val="5A7D3A"/>
          <w:sz w:val="18"/>
        </w:rPr>
        <w:t>https://pubmed.ncbi.nlm.nih.gov/42731859/</w:t>
      </w:r>
    </w:p>
    <w:p>
      <w:pPr>
        <w:pStyle w:val="Heading2"/>
      </w:pPr>
      <w:r>
        <w:t>Supplementale Sauerstoffgabe bei akuter Herzinsuffizienz: Weniger ist mehr</w:t>
      </w:r>
    </w:p>
    <w:p>
      <w:r>
        <w:rPr>
          <w:i/>
          <w:color w:val="666666"/>
          <w:sz w:val="18"/>
        </w:rPr>
        <w:t>Galluzzo A et al.  ·  Eur Heart J Acute Cardiovasc Care  ·  08.09.2026  ·  PMID 42708882</w:t>
      </w:r>
    </w:p>
    <w:p>
      <w:r>
        <w:t>Editorium zu Evidenz über Sauerstoff in akuter Herzinsuffizienz; Diskussion, ob weniger Sauerstoff bessere Outcomes ermöglicht.</w:t>
      </w:r>
    </w:p>
    <w:p>
      <w:r>
        <w:rPr>
          <w:b/>
        </w:rPr>
        <w:t xml:space="preserve">Ergebnis: </w:t>
      </w:r>
      <w:r>
        <w:t>Kein konkretes Ergebnis im Abstract berichtet; nur Ankündigung des Themas ohne quantitative Befunde oder definitive Empfehlungen.</w:t>
      </w:r>
    </w:p>
    <w:p>
      <w:r>
        <w:rPr>
          <w:b/>
          <w:sz w:val="19"/>
        </w:rPr>
        <w:t xml:space="preserve">Übertragbarkeit: </w:t>
      </w:r>
      <w:r>
        <w:rPr>
          <w:sz w:val="19"/>
        </w:rPr>
        <w:t>Erfüllt Auswahlkriterium nicht; kein benennbares Ergebnis.</w:t>
      </w:r>
    </w:p>
    <w:p>
      <w:r>
        <w:rPr>
          <w:color w:val="5A7D3A"/>
          <w:sz w:val="18"/>
        </w:rPr>
        <w:t>https://pubmed.ncbi.nlm.nih.gov/42708882/</w:t>
      </w:r>
    </w:p>
    <w:p>
      <w:pPr>
        <w:pStyle w:val="Heading2"/>
      </w:pPr>
      <w:r>
        <w:t>ASTA-Score beste psychometrische Validierung unter AF-Symptom-Schwere-Messgeräten</w:t>
      </w:r>
    </w:p>
    <w:p>
      <w:r>
        <w:rPr>
          <w:i/>
          <w:color w:val="666666"/>
          <w:sz w:val="18"/>
        </w:rPr>
        <w:t>Ogendo JJ et al.  ·  Europace  ·  08.09.2026  ·  PMID 42706219</w:t>
      </w:r>
    </w:p>
    <w:p>
      <w:r>
        <w:t>Systematischer Review und COSMIN-Bewertung von Patient-Reported Outcome Measures (PROMs) für Vorhofflimmern; Evaluation von sechs Symptom-Schwere-Instrumenten (AFSymp, AFS/B, AFSS, ASTA, AF6, SCL) und deren Messeigenschaften.</w:t>
      </w:r>
    </w:p>
    <w:p>
      <w:r>
        <w:rPr>
          <w:b/>
        </w:rPr>
        <w:t xml:space="preserve">Ergebnis: </w:t>
      </w:r>
      <w:r>
        <w:t>709 Publikationen identifizierten 101 PROMs; sechs Symptom-Schwere-Scores wurden psychometrisch bewertet. ASTA zeigte die meiste Validierungseviden und größte Sicherheit bei Inhaltsvalidität sowie interne Konsistenz. COSMIN-Bewertungen enthüllten kritische Lücken in Responsiveness und kulturübergreifender Validität. Empfehlung: COSMIN-konforme Validierung aller PROMs vor Routineintegration in AF-Versorgung.</w:t>
      </w:r>
    </w:p>
    <w:p>
      <w:r>
        <w:rPr>
          <w:b/>
          <w:sz w:val="19"/>
        </w:rPr>
        <w:t xml:space="preserve">Übertragbarkeit: </w:t>
      </w:r>
      <w:r>
        <w:rPr>
          <w:sz w:val="19"/>
        </w:rPr>
        <w:t>Europa; Systematik übertragbar auf deutsches Setting für Versorgungsqualität und Patient-Reported Outcomes.</w:t>
      </w:r>
    </w:p>
    <w:p>
      <w:r>
        <w:rPr>
          <w:color w:val="5A7D3A"/>
          <w:sz w:val="18"/>
        </w:rPr>
        <w:t>https://pubmed.ncbi.nlm.nih.gov/42706219/</w:t>
      </w:r>
    </w:p>
    <w:p>
      <w:pPr>
        <w:pStyle w:val="Heading2"/>
      </w:pPr>
      <w:r>
        <w:t>Erhöhte TMAO und PAGln prognostizieren Sterblichkeit über HFrEF und HFpEF hinweg</w:t>
      </w:r>
    </w:p>
    <w:p>
      <w:r>
        <w:rPr>
          <w:i/>
          <w:color w:val="666666"/>
          <w:sz w:val="18"/>
        </w:rPr>
        <w:t>Koeckerling D et al.  ·  Eur J Heart Fail  ·  01.09.2026  ·  PMID 42677938</w:t>
      </w:r>
    </w:p>
    <w:p>
      <w:r>
        <w:t>Systematischer Review und Meta-Analyse zur prognostischen Assoziation von Darm-Mikrobiom-Metaboliten (TMAO, Phenylacetylglutamin) mit Herzinsuffizienz-Outcomes; Pooling von 20 Studien mit 17.715 Patienten.</w:t>
      </w:r>
    </w:p>
    <w:p>
      <w:r>
        <w:rPr>
          <w:b/>
        </w:rPr>
        <w:t xml:space="preserve">Ergebnis: </w:t>
      </w:r>
      <w:r>
        <w:t>Erhöhtes Trimethylamin-N-oxid (TMAO) assoziiert mit Gesamtsterblichkeit (HR 1,72; 95%-KI 1,42–2,08) und Major Adverse Cardiac Events (HR 1,60; 95%-KI 1,44–1,78) über HFrEF (HR 2,17; 95%-KI 1,68–2,81) und HFpEF (HR 1,55; 95%-KI 0,92–2,61) hinweg. Erhöhtes Phenylacetylglutamin (PAGln) ebenfalls mit Mortalität (HR 1,60; 95%-KI 1,33–1,94) und MACE (HR 1,65; 95%-KI 1,37–1,99) assoziiert. Unterschiede durch Alter, NT-proBNP, Nierenfunktion oder BMI nicht signifikant.</w:t>
      </w:r>
    </w:p>
    <w:p>
      <w:r>
        <w:rPr>
          <w:b/>
          <w:sz w:val="19"/>
        </w:rPr>
        <w:t xml:space="preserve">Übertragbarkeit: </w:t>
      </w:r>
      <w:r>
        <w:rPr>
          <w:sz w:val="19"/>
        </w:rPr>
        <w:t>Meta-Analyse europäischer und internationaler Kohorten; Biomarker auf Routinetauglichkeit zu prüfen.</w:t>
      </w:r>
    </w:p>
    <w:p>
      <w:r>
        <w:rPr>
          <w:color w:val="5A7D3A"/>
          <w:sz w:val="18"/>
        </w:rPr>
        <w:t>https://pubmed.ncbi.nlm.nih.gov/42677938/</w:t>
      </w:r>
    </w:p>
    <w:p>
      <w:pPr>
        <w:pStyle w:val="Heading2"/>
      </w:pPr>
      <w:r>
        <w:t>Schrittmacher mit AV-Knoten-Ablation besser als PVI bei älteren Patienten mit persistentem Vorhofflimmern</w:t>
      </w:r>
    </w:p>
    <w:p>
      <w:r>
        <w:rPr>
          <w:i/>
          <w:color w:val="666666"/>
          <w:sz w:val="18"/>
        </w:rPr>
        <w:t>Boehmer AA et al.  ·  Eur Heart J  ·  31.08.2026  ·  PMID 42671117</w:t>
      </w:r>
    </w:p>
    <w:p>
      <w:r>
        <w:t>Randomisierte Studie (ABLATE versus PACE) in Deutschland und Österreich: Pacemaker-Implantation mit Atrioventricular-Node-Ablation (PM+AVNA) vs. Pulmonalvenenisolation (PVI) bei älteren Patienten (≥75 Jahre) mit symptomatischem persistentem Vorhofflimmern.</w:t>
      </w:r>
    </w:p>
    <w:p>
      <w:r>
        <w:rPr>
          <w:b/>
        </w:rPr>
        <w:t xml:space="preserve">Ergebnis: </w:t>
      </w:r>
      <w:r>
        <w:t>Bei 12-Monaten-Follow-up: Primärer Endpunkt (Hospitalisierung wegen Arrhythmie, Herzinsuffizienz, elektrische Kardioversion oder CRT-Upgrade) trat bei 24% (PM+AVNA) vs. 46% (PVI) auf (Hazard Ratio 0,45; 95%-KI 0,27–0,74; p=0,002). PM+AVNA zeigte weniger AF-Hospitalisierungen und Kardioversionen, aber mehr HF-Hospitalisierungen. Mortalität und Lebensqualität unterschieden sich nicht.</w:t>
      </w:r>
    </w:p>
    <w:p>
      <w:r>
        <w:rPr>
          <w:b/>
          <w:sz w:val="19"/>
        </w:rPr>
        <w:t xml:space="preserve">Übertragbarkeit: </w:t>
      </w:r>
      <w:r>
        <w:rPr>
          <w:sz w:val="19"/>
        </w:rPr>
        <w:t>Deutsches und österreichisches Gesundheitssystem, direkt übertragbar auf Altersstruktur und Leitlinien.</w:t>
      </w:r>
    </w:p>
    <w:p>
      <w:r>
        <w:rPr>
          <w:color w:val="5A7D3A"/>
          <w:sz w:val="18"/>
        </w:rPr>
        <w:t>https://pubmed.ncbi.nlm.nih.gov/42671117/</w:t>
      </w:r>
    </w:p>
    <w:p>
      <w:pPr>
        <w:pStyle w:val="Heading1"/>
      </w:pPr>
      <w:r>
        <w:t>Aufgenommen am 11.09.2026</w:t>
      </w:r>
    </w:p>
    <w:p>
      <w:pPr>
        <w:pStyle w:val="Heading2"/>
      </w:pPr>
      <w:r>
        <w:t>Nur Vorhofflimmern ist nach STEMI mit reduzierter EF unabhängig mit erhöhter Mortalität assoziiert; Kammertachykardien sind seltener als erwartet</w:t>
      </w:r>
    </w:p>
    <w:p>
      <w:r>
        <w:rPr>
          <w:i/>
          <w:color w:val="666666"/>
          <w:sz w:val="18"/>
        </w:rPr>
        <w:t>Jiménez-Candil J et al.  ·  JACC Clin Electrophysiol  ·  26.08.2026  ·  PMID 42720633</w:t>
      </w:r>
    </w:p>
    <w:p>
      <w:r>
        <w:t>Multizenterstudie (TeVeO-Register) an 224 STEMI-Überlebenden mit EF ≤40 % am Tag ≥4, die kontinuierliches implantierbares Monitoring nach Entlassung mit Remote-Telemetrie über Median 3,1 Jahre durchgeführt hat.</w:t>
      </w:r>
    </w:p>
    <w:p>
      <w:r>
        <w:rPr>
          <w:b/>
        </w:rPr>
        <w:t xml:space="preserve">Ergebnis: </w:t>
      </w:r>
      <w:r>
        <w:t>Mortalität 3,7 pro 100 Patientenjahre; ohne plötzliche arrhythmische Todesfälle. Bei 6 Monaten ICD bei 25 (11 %) implantiert. Während Follow-up 119 (53 %) ≥1 ambulante Arrhythmie: 39 (17 %) Vorhofflimmern, 35 (16 %) NSVT, 33 (15 %) Pausen &gt;3 sec, 5 (2,2 %) nachgewiesene VT/ICD-Therapie. Nur Vorhofflimmern unabhängig mit erhöhter Mortalität assoziiert (adj. HR=2,5; p=0,04). NSVT-Inzidenz 5,4/100 PY, VT/ICD-Therapie 0,9/100 PY.</w:t>
      </w:r>
    </w:p>
    <w:p>
      <w:r>
        <w:rPr>
          <w:b/>
          <w:sz w:val="19"/>
        </w:rPr>
        <w:t xml:space="preserve">Übertragbarkeit: </w:t>
      </w:r>
      <w:r>
        <w:rPr>
          <w:sz w:val="19"/>
        </w:rPr>
        <w:t>Spanische Multizenterstudie mit etabliertem Register; Real-World-Evidenz zum Post-STEMI-Arrhythmie-Phänotyp.</w:t>
      </w:r>
    </w:p>
    <w:p>
      <w:r>
        <w:rPr>
          <w:color w:val="5A7D3A"/>
          <w:sz w:val="18"/>
        </w:rPr>
        <w:t>https://pubmed.ncbi.nlm.nih.gov/42720633/</w:t>
      </w:r>
    </w:p>
    <w:p>
      <w:pPr>
        <w:pStyle w:val="Heading2"/>
      </w:pPr>
      <w:r>
        <w:t>Stressechokardiographie mit LA-Strain verbessert HFpEF-Diagnose und reduziert Invasivtestungen um etwa 30 Prozent</w:t>
      </w:r>
    </w:p>
    <w:p>
      <w:r>
        <w:rPr>
          <w:i/>
          <w:color w:val="666666"/>
          <w:sz w:val="18"/>
        </w:rPr>
        <w:t>Harada T et al.  ·  Eur Heart J  ·  10.09.2026  ·  PMID 42720269</w:t>
      </w:r>
    </w:p>
    <w:p>
      <w:r>
        <w:t>Multizenterstudie an 482 Patienten mit Dyspnoe unklarer Ursache mit invasivem Belastungstest und simultaner Echokardiographie zur Validierung eines verbesserten diagnostischen Algorithmus für HFpEF mittels Stressecho und Vorhofbelastungszechanismus.</w:t>
      </w:r>
    </w:p>
    <w:p>
      <w:r>
        <w:rPr>
          <w:b/>
        </w:rPr>
        <w:t xml:space="preserve">Ergebnis: </w:t>
      </w:r>
      <w:r>
        <w:t>Aktuelle Diagnostik-Scores (H2FPEF, HFA-PEFF) zeigten nur 55–60 % Sensitivität. Mit optimierten Cut-Points für E/e' und LA-Reservoir-Strain (Systole/E/e') bei Ruhe konnten sichere Klassifikationen auf 70 % ausgeweitet werden, während invasive Tests von ~60 % auf ~30 % reduziert wurden (Sensitivität 95–99 % unter definitiv Klassifizierten). Befunde in internationalem Validierungskohorte bestätigt.</w:t>
      </w:r>
    </w:p>
    <w:p>
      <w:r>
        <w:rPr>
          <w:b/>
          <w:sz w:val="19"/>
        </w:rPr>
        <w:t xml:space="preserve">Übertragbarkeit: </w:t>
      </w:r>
      <w:r>
        <w:rPr>
          <w:sz w:val="19"/>
        </w:rPr>
        <w:t>USA-Studie mit internationalem Validierungskohorte; Verfahrensoptimierung übertragbar auf Chest-Pain-Units in Deutschland.</w:t>
      </w:r>
    </w:p>
    <w:p>
      <w:r>
        <w:rPr>
          <w:color w:val="5A7D3A"/>
          <w:sz w:val="18"/>
        </w:rPr>
        <w:t>https://pubmed.ncbi.nlm.nih.gov/42720269/</w:t>
      </w:r>
    </w:p>
    <w:p>
      <w:pPr>
        <w:pStyle w:val="Heading2"/>
      </w:pPr>
      <w:r>
        <w:t>Myeloperoxidase-Inhibitor Mitiperstat verbessert nicht Symptome oder Trainingsleistung bei Herzinsuffizienz mit erhaltener Ejektionsfraktion</w:t>
      </w:r>
    </w:p>
    <w:p>
      <w:r>
        <w:rPr>
          <w:i/>
          <w:color w:val="666666"/>
          <w:sz w:val="18"/>
        </w:rPr>
        <w:t>Lund LH et al.  ·  Nat Med  ·  09.09.2026  ·  PMID 42717033</w:t>
      </w:r>
    </w:p>
    <w:p>
      <w:r>
        <w:t>Randomisierte, doppelblinde Phase-2b-Studie mit 711 Patienten mit Herzinsuffizienz und EF &gt;40 %, die untersucht hat, ob der MPO-Inhibitor Mitiperstat über 48 Wochen Symptome und Trainingskapazität verbessert.</w:t>
      </w:r>
    </w:p>
    <w:p>
      <w:r>
        <w:rPr>
          <w:b/>
        </w:rPr>
        <w:t xml:space="preserve">Ergebnis: </w:t>
      </w:r>
      <w:r>
        <w:t>Mitiperstat (gepoolte Dosen) verschlechterte nicht das KCCQ-Total Symptom Score (Placebo-korrigierte Differenz −1,4 Punkte, 95%-KI −3,9–1,2; p=0,29) oder die 6-Minuten-Gehstrecke (3,8 m, 95%-KI −3,1–10,8; p=0,28). Die Therapie war sicher, aber wirkungslos für HFpEF/HFmrEF im chronischen Stadium.</w:t>
      </w:r>
    </w:p>
    <w:p>
      <w:r>
        <w:rPr>
          <w:b/>
          <w:sz w:val="19"/>
        </w:rPr>
        <w:t xml:space="preserve">Übertragbarkeit: </w:t>
      </w:r>
      <w:r>
        <w:rPr>
          <w:sz w:val="19"/>
        </w:rPr>
        <w:t>Multizentrische europäische und globale Studie; negative Ergebnisse für Leitlinienentscheidungen relevant.</w:t>
      </w:r>
    </w:p>
    <w:p>
      <w:r>
        <w:rPr>
          <w:color w:val="5A7D3A"/>
          <w:sz w:val="18"/>
        </w:rPr>
        <w:t>https://pubmed.ncbi.nlm.nih.gov/42717033/</w:t>
      </w:r>
    </w:p>
    <w:p>
      <w:pPr>
        <w:pStyle w:val="Heading2"/>
      </w:pPr>
      <w:r>
        <w:t>Herzinsuffizienz jeder EF-Kategorie ist mit kognitiven Beeinträchtigungen assoziiert, am stärksten bei reduzierter EF</w:t>
      </w:r>
    </w:p>
    <w:p>
      <w:r>
        <w:rPr>
          <w:i/>
          <w:color w:val="666666"/>
          <w:sz w:val="18"/>
        </w:rPr>
        <w:t>Satyadev N et al.  ·  J Am Heart Assoc  ·  09.09.2026  ·  PMID 42714589</w:t>
      </w:r>
    </w:p>
    <w:p>
      <w:r>
        <w:t>Querschnittstudie von 1.592 Patienten (mittleres Alter 75,7 Jahre) aus einem US-Gesundheitssystem, die Zusammenhänge zwischen HF-Phenotypen (nach EF-Kategorien) und kognitiven Funktionen (Montreal Cognitive Assessment) untersucht hat.</w:t>
      </w:r>
    </w:p>
    <w:p>
      <w:r>
        <w:rPr>
          <w:b/>
        </w:rPr>
        <w:t xml:space="preserve">Ergebnis: </w:t>
      </w:r>
      <w:r>
        <w:t>Niedrigere EF korrelierte mit schlechterer kognitiver Leistung (bereinigt β=0,033, p=0,013). HFrEF und HFpEF zeigten signifikant niedrigere MoCA-Werte als keine HF (HFrEF 17,6±6,2 vs. keine HF 19,9±6,0, p&lt;0,001). Moderate bis schwere kognitive Beeinträchtigung war höchst bei HFrEF (43,3 %), gefolgt von HFpEF (34,4 %).</w:t>
      </w:r>
    </w:p>
    <w:p>
      <w:r>
        <w:rPr>
          <w:b/>
          <w:sz w:val="19"/>
        </w:rPr>
        <w:t xml:space="preserve">Übertragbarkeit: </w:t>
      </w:r>
      <w:r>
        <w:rPr>
          <w:sz w:val="19"/>
        </w:rPr>
        <w:t>USA-Daten; Sekundärbefund zum kognitiven Risiko bei HF relevant für deutsche Versorgungsplanung und Geriatrie.</w:t>
      </w:r>
    </w:p>
    <w:p>
      <w:r>
        <w:rPr>
          <w:color w:val="5A7D3A"/>
          <w:sz w:val="18"/>
        </w:rPr>
        <w:t>https://pubmed.ncbi.nlm.nih.gov/42714589/</w:t>
      </w:r>
    </w:p>
    <w:p>
      <w:pPr>
        <w:pStyle w:val="Heading2"/>
      </w:pPr>
      <w:r>
        <w:t>Intermittierende Hypoxie-Hyperoxie-Exposition ist in HF-Patienten sicher und führt zu Verbesserungen der Blutdruckregulation und Körperzusammensetzung</w:t>
      </w:r>
    </w:p>
    <w:p>
      <w:r>
        <w:rPr>
          <w:i/>
          <w:color w:val="666666"/>
          <w:sz w:val="18"/>
        </w:rPr>
        <w:t>Bekfani T et al.  ·  ESC Heart Fail  ·  04.09.2026  ·  PMID 42695491</w:t>
      </w:r>
    </w:p>
    <w:p>
      <w:r>
        <w:t>Pilot-Feasibility-Studie mit 9 HF-Patienten (5 HFpEF, 4 HFrEF), die eine 10-wöchige individualisierte Intervention mit wiederholtem Höhentrainingszyklus (IHHE) hinsichtlich Sicherheit und Wirksamkeit auf Trainingskapazität und Lebensqualität untersucht hat.</w:t>
      </w:r>
    </w:p>
    <w:p>
      <w:r>
        <w:rPr>
          <w:b/>
        </w:rPr>
        <w:t xml:space="preserve">Ergebnis: </w:t>
      </w:r>
      <w:r>
        <w:t>IHHE war sicher und gut verträglich (Adhärenz 95 %), keine unerwünschten Ereignisse. Signifikante Reduktionen des systolischen (β=−5,95 mmHg) und diastolischen Blutdrucks (β=−3,74 mmHg) über 10 Wochen (p&lt;0,001). Fettmassenindex sank (9,32 vs. 8,92 kg/m², p=0,031), viszerales Fett sank (127,6 vs. 121,9 cm², p=0,005), numerische Trends zu besserem Peak VO₂ (+300 mL/min) und 6MWT (+22 m), keine QoL-Verbesserung beobachtet.</w:t>
      </w:r>
    </w:p>
    <w:p>
      <w:r>
        <w:rPr>
          <w:b/>
          <w:sz w:val="19"/>
        </w:rPr>
        <w:t xml:space="preserve">Übertragbarkeit: </w:t>
      </w:r>
      <w:r>
        <w:rPr>
          <w:sz w:val="19"/>
        </w:rPr>
        <w:t>Deutschland: Universitätsklinik Magdeburg mit europäischen Zentren; Machbarkeitsstudie für RCT-Vorbereitung.</w:t>
      </w:r>
    </w:p>
    <w:p>
      <w:r>
        <w:rPr>
          <w:color w:val="5A7D3A"/>
          <w:sz w:val="18"/>
        </w:rPr>
        <w:t>https://pubmed.ncbi.nlm.nih.gov/42695491/</w:t>
      </w:r>
    </w:p>
    <w:p>
      <w:pPr>
        <w:pStyle w:val="Heading2"/>
      </w:pPr>
      <w:r>
        <w:t>Kontinuierlich erhöhte Ketonkörper im Plasma sind mit ungünstigen Ereignissen in Herzinsuffizienz verbunden</w:t>
      </w:r>
    </w:p>
    <w:p>
      <w:r>
        <w:rPr>
          <w:i/>
          <w:color w:val="666666"/>
          <w:sz w:val="18"/>
        </w:rPr>
        <w:t>Palm CL et al.  ·  Clin Res Cardiol  ·  31.08.2026  ·  PMID 42671454</w:t>
      </w:r>
    </w:p>
    <w:p>
      <w:r>
        <w:t>Prospektive Kohortenstudie (TRIUMPH und Bio-SHiFT) mit 467 und 397 HF-Patienten, die durch Joint-Modeling wiederholte Plasma-Ketonkörper-Messungen und Zusammenhänge mit Tod/HF-Rehospitalisierung analysiert hat.</w:t>
      </w:r>
    </w:p>
    <w:p>
      <w:r>
        <w:rPr>
          <w:b/>
        </w:rPr>
        <w:t xml:space="preserve">Ergebnis: </w:t>
      </w:r>
      <w:r>
        <w:t>TRIUMPH: bei Verdopplung der Gesamt-Ketonkörper HR 2,10 (95%-KI 1,27–3,71) für kombiniertes Ereignis nach Anpassung. Bio-SHiFT: HR 5,36 (2,18–14,0) für Ketonkörper bei Studienendpunkt. Patienten mit Ereignissen zeigten durchgehend höhere Ketonkörper, was anhaltenden metabolischen Stress widerspiegelt.</w:t>
      </w:r>
    </w:p>
    <w:p>
      <w:r>
        <w:rPr>
          <w:b/>
          <w:sz w:val="19"/>
        </w:rPr>
        <w:t xml:space="preserve">Übertragbarkeit: </w:t>
      </w:r>
      <w:r>
        <w:rPr>
          <w:sz w:val="19"/>
        </w:rPr>
        <w:t>Niederländisch-deutsche Studienzentren; vergleichbar mit deutschen Kliniken in Struktur und Verfolgung.</w:t>
      </w:r>
    </w:p>
    <w:p>
      <w:r>
        <w:rPr>
          <w:color w:val="5A7D3A"/>
          <w:sz w:val="18"/>
        </w:rPr>
        <w:t>https://pubmed.ncbi.nlm.nih.gov/42671454/</w:t>
      </w:r>
    </w:p>
    <w:p>
      <w:pPr>
        <w:pStyle w:val="Heading1"/>
      </w:pPr>
      <w:r>
        <w:t>Aufgenommen am 10.09.2026</w:t>
      </w:r>
    </w:p>
    <w:p>
      <w:pPr>
        <w:pStyle w:val="Heading2"/>
      </w:pPr>
      <w:r>
        <w:t>Selektive Adipokinmodulierung verbessert HFpEF-Parameter stärker als Hämodynamik-Targeting</w:t>
      </w:r>
    </w:p>
    <w:p>
      <w:r>
        <w:rPr>
          <w:i/>
          <w:color w:val="666666"/>
          <w:sz w:val="18"/>
        </w:rPr>
        <w:t>Packer M et al.  ·  JACC Heart Fail  ·  08.09.2026  ·  PMID 42714366</w:t>
      </w:r>
    </w:p>
    <w:p>
      <w:r>
        <w:t>Analyse von HFpEF-Patienten (veröffentlichtes abstract, methodische Fokusstudie), Vergleich der Effekte von gerichteter Adipokinmodulation versus traditioneller hämodynamischer Therapieoptimierung.</w:t>
      </w:r>
    </w:p>
    <w:p>
      <w:r>
        <w:rPr>
          <w:b/>
        </w:rPr>
        <w:t xml:space="preserve">Ergebnis: </w:t>
      </w:r>
      <w:r>
        <w:t>Gezielte Adipokinmodulation führte zu messbaren Verbesserungen der linksventrikulären Funktion und Struktur; Hämodynamik-only-Ansätze zeigten weniger Benefit. Hinweis auf Bedeutung inflammatorischer und metabolischer Pathways bei HFpEF.</w:t>
      </w:r>
    </w:p>
    <w:p>
      <w:r>
        <w:rPr>
          <w:b/>
          <w:sz w:val="19"/>
        </w:rPr>
        <w:t xml:space="preserve">Übertragbarkeit: </w:t>
      </w:r>
      <w:r>
        <w:rPr>
          <w:sz w:val="19"/>
        </w:rPr>
        <w:t>Mechanismusstudie, USA-Setting, aber adipokine Targets sind universell relevant.</w:t>
      </w:r>
    </w:p>
    <w:p>
      <w:r>
        <w:rPr>
          <w:color w:val="5A7D3A"/>
          <w:sz w:val="18"/>
        </w:rPr>
        <w:t>https://pubmed.ncbi.nlm.nih.gov/42714366/</w:t>
      </w:r>
    </w:p>
    <w:p>
      <w:pPr>
        <w:pStyle w:val="Heading2"/>
      </w:pPr>
      <w:r>
        <w:t>Kombinierte Pulmonalvenenisolation und Vorhofohrkauerstöpselung mit gepulstem Feldablation ist sicher und wirksam</w:t>
      </w:r>
    </w:p>
    <w:p>
      <w:r>
        <w:rPr>
          <w:i/>
          <w:color w:val="666666"/>
          <w:sz w:val="18"/>
        </w:rPr>
        <w:t>Heeger CH et al.  ·  Europace  ·  02.09.2026  ·  PMID 42713747</w:t>
      </w:r>
    </w:p>
    <w:p>
      <w:r>
        <w:t>Retrospektive multizentrische Registerstudie zu 155 Patienten aus neun europäischen Ländern, die sich einer gleichzeitigen gepulsten Feldablation-basierten Pulmonalvenenisolation und Vorhofohrkauerstöpselung unterzogen.</w:t>
      </w:r>
    </w:p>
    <w:p>
      <w:r>
        <w:rPr>
          <w:b/>
        </w:rPr>
        <w:t xml:space="preserve">Ergebnis: </w:t>
      </w:r>
      <w:r>
        <w:t>Primärer Wirksamkeitsendpunkt erreicht bei 97,4 % (PVI erfolgreich 100 %, Verschluss 97,4 %), ernsthafte Nebenwirkungen bei 1,9 %. Sinusrhythmus bei 78,1 % der Patienten mit Follow-up &gt;6 Monate. Eine seltene Komplikation; insgesamt ein praxisrelevantes, kombiniertes Verfahren.</w:t>
      </w:r>
    </w:p>
    <w:p>
      <w:r>
        <w:rPr>
          <w:b/>
          <w:sz w:val="19"/>
        </w:rPr>
        <w:t xml:space="preserve">Übertragbarkeit: </w:t>
      </w:r>
      <w:r>
        <w:rPr>
          <w:sz w:val="19"/>
        </w:rPr>
        <w:t>Multinationale europäische Zentren, deutsche Standorte beteiligt, vergleichbare Strukturen.</w:t>
      </w:r>
    </w:p>
    <w:p>
      <w:r>
        <w:rPr>
          <w:color w:val="5A7D3A"/>
          <w:sz w:val="18"/>
        </w:rPr>
        <w:t>https://pubmed.ncbi.nlm.nih.gov/42713747/</w:t>
      </w:r>
    </w:p>
    <w:p>
      <w:pPr>
        <w:pStyle w:val="Heading2"/>
      </w:pPr>
      <w:r>
        <w:t>LGE-Korridore und Hochrisiko-Genotyp vorhersagen Herzrhythmusstörungen in dilatativer Kardiomyopathie besser als EF ≤35 %</w:t>
      </w:r>
    </w:p>
    <w:p>
      <w:r>
        <w:rPr>
          <w:i/>
          <w:color w:val="666666"/>
          <w:sz w:val="18"/>
        </w:rPr>
        <w:t>Ramos-López N et al.  ·  Circulation  ·  08.09.2026  ·  PMID 42708210</w:t>
      </w:r>
    </w:p>
    <w:p>
      <w:r>
        <w:t>Retrospektive multizentrische europäische Studie mit 925 Patienten mit nichtischämischer Kardiomyopathie, Analyse von Spätanreicherungsmustern im MRT und genetischen Varianten zur Vorhersage maligner ventrikulärer Arrhythmien.</w:t>
      </w:r>
    </w:p>
    <w:p>
      <w:r>
        <w:rPr>
          <w:b/>
        </w:rPr>
        <w:t xml:space="preserve">Ergebnis: </w:t>
      </w:r>
      <w:r>
        <w:t>Nach Median-Follow-up 5,4 Jahre 95 Ereignisse (10,3 %). Pro Läsionskanal im LGE: Subdistribution Hazard Ratio 1,25 (95 % CI 1,11–1,42; p&lt;0,001). Hochrisikogenotpyen: SHR 2,28 (95 % CI 1,32–3,96; p=0,003). Optimales Cutoff ≥4 Korridore. Fünf-Jahres-C-Index 0,72 vs. 0,57 (EF ≤35 %-Klassifikation).</w:t>
      </w:r>
    </w:p>
    <w:p>
      <w:r>
        <w:rPr>
          <w:b/>
          <w:sz w:val="19"/>
        </w:rPr>
        <w:t xml:space="preserve">Übertragbarkeit: </w:t>
      </w:r>
      <w:r>
        <w:rPr>
          <w:sz w:val="19"/>
        </w:rPr>
        <w:t>22 europäische Zentren, Europa-weite Kooperation, aber spezialisierte CMR/Genetik-Expertise erforderlich.</w:t>
      </w:r>
    </w:p>
    <w:p>
      <w:r>
        <w:rPr>
          <w:color w:val="5A7D3A"/>
          <w:sz w:val="18"/>
        </w:rPr>
        <w:t>https://pubmed.ncbi.nlm.nih.gov/42708210/</w:t>
      </w:r>
    </w:p>
    <w:p>
      <w:pPr>
        <w:pStyle w:val="Heading2"/>
      </w:pPr>
      <w:r>
        <w:t>Lipidsenker-Therapieintensivierung würde in Dänemark 589 Schlaganfälle jährlich verhindern</w:t>
      </w:r>
    </w:p>
    <w:p>
      <w:r>
        <w:rPr>
          <w:i/>
          <w:color w:val="666666"/>
          <w:sz w:val="18"/>
        </w:rPr>
        <w:t>Mohamed AA et al.  ·  Open Heart  ·  07.09.2026  ·  PMID 42705842</w:t>
      </w:r>
    </w:p>
    <w:p>
      <w:r>
        <w:t>Landesweite dänische Kohortenstudie mit 487.962 Patienten mit hohem oder sehr hohem Atheroskleroserisiko, Messung der LDL-Cholesterin-Zielwert-Erreichung und Modellierung der Auswirkungen von Leitlinienimplementierung.</w:t>
      </w:r>
    </w:p>
    <w:p>
      <w:r>
        <w:rPr>
          <w:b/>
        </w:rPr>
        <w:t xml:space="preserve">Ergebnis: </w:t>
      </w:r>
      <w:r>
        <w:t>Aktuelle Zielerreichung Primärprävention 39,8 % (dänisch) bzw. 15,1 % (europäisch), Sekundärprävention 18,8 %. Mit optimaler Umsetzung Steigerung auf 91,9 % (dänisch) bzw. 75,8 % (europäisch). Implementierung würde 589 Schlaganfälle, 491 Herzinfarkte, 581 Revaskularisationen, 196 kardiovaskuläre Todesfälle jährlich verhindern; 15,8 Mio. € Kosteneinsparung.</w:t>
      </w:r>
    </w:p>
    <w:p>
      <w:r>
        <w:rPr>
          <w:b/>
          <w:sz w:val="19"/>
        </w:rPr>
        <w:t xml:space="preserve">Übertragbarkeit: </w:t>
      </w:r>
      <w:r>
        <w:rPr>
          <w:sz w:val="19"/>
        </w:rPr>
        <w:t>Dänemark, vergleichbares nordeuropäisches Versicherungssystem, aber restriktivere PCSK9-Inhibitor-Erstattung.</w:t>
      </w:r>
    </w:p>
    <w:p>
      <w:r>
        <w:rPr>
          <w:color w:val="5A7D3A"/>
          <w:sz w:val="18"/>
        </w:rPr>
        <w:t>https://pubmed.ncbi.nlm.nih.gov/42705842/</w:t>
      </w:r>
    </w:p>
    <w:p>
      <w:pPr>
        <w:pStyle w:val="Heading2"/>
      </w:pPr>
      <w:r>
        <w:t>Temperaturextreme und Herzinsuffizienzeinweisungen in Schweden: Kältewellen erhöhen Risiko um 8,5 %</w:t>
      </w:r>
    </w:p>
    <w:p>
      <w:r>
        <w:rPr>
          <w:i/>
          <w:color w:val="666666"/>
          <w:sz w:val="18"/>
        </w:rPr>
        <w:t>Ni W et al.  ·  J Am Coll Cardiol  ·  01.09.2026  ·  PMID 42683967</w:t>
      </w:r>
    </w:p>
    <w:p>
      <w:r>
        <w:t>Bevölkerungsweite Fall-Crossover-Studie in Schweden mit 482.000 Herzinsuffizienzeinweisungen 2006–2021, Analyse der Assoziation mit Kältephasen und Hitzewellen.</w:t>
      </w:r>
    </w:p>
    <w:p>
      <w:r>
        <w:rPr>
          <w:b/>
        </w:rPr>
        <w:t xml:space="preserve">Ergebnis: </w:t>
      </w:r>
      <w:r>
        <w:t>Kältephasen/niedrigere Temperaturen (lag 2–6 Tage): OR 1,085 für kumulative Assoziation (95 % CI 1,042–1,129). Höhere Temperaturen (lag 0–3): OR 1,009 pro 10-Perzentil-Anstieg (95 % CI 1,006–1,013). Höhere Risiken verzögert bei Kälte, unmittelbar bei Hitze.</w:t>
      </w:r>
    </w:p>
    <w:p>
      <w:r>
        <w:rPr>
          <w:b/>
          <w:sz w:val="19"/>
        </w:rPr>
        <w:t xml:space="preserve">Übertragbarkeit: </w:t>
      </w:r>
      <w:r>
        <w:rPr>
          <w:sz w:val="19"/>
        </w:rPr>
        <w:t>Schweden, aber klimageografische Besonderheiten; Befund temperaturunabhängig übertragbar.</w:t>
      </w:r>
    </w:p>
    <w:p>
      <w:r>
        <w:rPr>
          <w:color w:val="5A7D3A"/>
          <w:sz w:val="18"/>
        </w:rPr>
        <w:t>https://pubmed.ncbi.nlm.nih.gov/42683967/</w:t>
      </w:r>
    </w:p>
    <w:p>
      <w:pPr>
        <w:pStyle w:val="Heading2"/>
      </w:pPr>
      <w:r>
        <w:t>Diabetische Kardiomyopathie: Expertenpapier zur Abgrenzung als eigenständige Erkrankung</w:t>
      </w:r>
    </w:p>
    <w:p>
      <w:r>
        <w:rPr>
          <w:i/>
          <w:color w:val="666666"/>
          <w:sz w:val="18"/>
        </w:rPr>
        <w:t>Seferovic P et al.  ·  Eur Heart J  ·  02.09.2026  ·  PMID 42681860</w:t>
      </w:r>
    </w:p>
    <w:p>
      <w:r>
        <w:t>Expertenkonsensus-Review zur Frage, ob diabetische Kardiomyopathie als eigenständiger Phänotyp zu definieren ist, mit Diskussion von pathophysiologischen Mechanismen und klinischen Implikationen.</w:t>
      </w:r>
    </w:p>
    <w:p>
      <w:r>
        <w:rPr>
          <w:b/>
        </w:rPr>
        <w:t xml:space="preserve">Ergebnis: </w:t>
      </w:r>
      <w:r>
        <w:t>Mehrheitliche Übereinkunft: Diabetische Kardiomyopathie ist ein eigenständiges Syndrom mit charakteristischen Muskel-, Stoffwechsel- und entzündlichen Merkmalen; Unterscheidung von rein ischämischer oder hypertensiver Kardiomyopathie gerechtfertigt. Empfehlung für zukünftige therapeutische Ansätze.</w:t>
      </w:r>
    </w:p>
    <w:p>
      <w:r>
        <w:rPr>
          <w:b/>
          <w:sz w:val="19"/>
        </w:rPr>
        <w:t xml:space="preserve">Übertragbarkeit: </w:t>
      </w:r>
      <w:r>
        <w:rPr>
          <w:sz w:val="19"/>
        </w:rPr>
        <w:t>Expertenkonsens international, Leitlinien-relevant für Diabetes-Kardiologie-Interface in Deutschland.</w:t>
      </w:r>
    </w:p>
    <w:p>
      <w:r>
        <w:rPr>
          <w:color w:val="5A7D3A"/>
          <w:sz w:val="18"/>
        </w:rPr>
        <w:t>https://pubmed.ncbi.nlm.nih.gov/42681860/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Studienarchiv - Kardiologie</dc:title>
  <dc:subject/>
  <dc:creator>Monitor Versorgungsforschung</dc:creator>
  <cp:keywords/>
  <dc:description>generated by python-docx</dc:description>
  <cp:lastModifiedBy/>
  <cp:revision>1</cp:revision>
  <dcterms:created xsi:type="dcterms:W3CDTF">2026-10-25T06:00:00Z</dcterms:created>
  <dcterms:modified xsi:type="dcterms:W3CDTF">2026-10-25T06:00:00Z</dcterms:modified>
  <cp:category/>
</cp:coreProperties>
</file>